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8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</w:t>
      </w:r>
      <w:r>
        <w:rPr>
          <w:sz w:val="32"/>
          <w:szCs w:val="32"/>
        </w:rPr>
      </w:r>
      <w:r/>
      <w:r>
        <w:rPr>
          <w:sz w:val="32"/>
          <w:szCs w:val="32"/>
        </w:rPr>
        <w:t xml:space="preserve">                                                                                          </w:t>
      </w:r>
      <w:r>
        <w:rPr>
          <w:sz w:val="32"/>
          <w:szCs w:val="32"/>
        </w:rPr>
      </w:r>
      <w:r/>
      <w:r>
        <w:rPr>
          <w:sz w:val="32"/>
          <w:szCs w:val="32"/>
        </w:rPr>
      </w:r>
    </w:p>
    <w:p>
      <w:pPr>
        <w:pStyle w:val="818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РОССИЙСКАЯ ФЕДЕРАЦИЯ</w:t>
      </w:r>
      <w:r/>
    </w:p>
    <w:p>
      <w:pPr>
        <w:pStyle w:val="818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СОВЕТ ДЕПУТАТОВ</w:t>
      </w:r>
      <w:r/>
    </w:p>
    <w:p>
      <w:pPr>
        <w:pStyle w:val="818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ГОРОДСКОГО ОКРУГА СЕРЕБРЯНЫЕ ПРУДЫ</w:t>
      </w:r>
      <w:r/>
    </w:p>
    <w:p>
      <w:pPr>
        <w:pStyle w:val="818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МОСКОВСКОЙ ОБЛАСТИ</w:t>
      </w:r>
      <w:r/>
      <w:r>
        <w:rPr>
          <w:sz w:val="24"/>
          <w:szCs w:val="24"/>
        </w:rPr>
      </w:r>
      <w:r>
        <w:rPr>
          <w:sz w:val="24"/>
          <w:szCs w:val="24"/>
        </w:rPr>
      </w:r>
      <w:r/>
      <w:r>
        <w:rPr>
          <w:sz w:val="30"/>
          <w:szCs w:val="30"/>
        </w:rPr>
      </w:r>
    </w:p>
    <w:p>
      <w:pPr>
        <w:pStyle w:val="81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РЕШЕНИЕ </w:t>
      </w:r>
      <w:r/>
    </w:p>
    <w:p>
      <w:pPr>
        <w:pStyle w:val="818"/>
        <w:jc w:val="center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818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u w:val="none"/>
        </w:rPr>
        <w:t xml:space="preserve">15.11.2024</w:t>
      </w:r>
      <w:r>
        <w:rPr>
          <w:sz w:val="28"/>
          <w:szCs w:val="28"/>
        </w:rPr>
        <w:t xml:space="preserve">                                                 №  </w:t>
      </w:r>
      <w:r>
        <w:rPr>
          <w:sz w:val="28"/>
          <w:szCs w:val="28"/>
          <w:u w:val="none"/>
        </w:rPr>
        <w:t xml:space="preserve">229/35</w:t>
      </w:r>
      <w:r>
        <w:rPr>
          <w:sz w:val="32"/>
          <w:szCs w:val="32"/>
          <w:u w:val="none"/>
        </w:rPr>
        <w:t xml:space="preserve"> </w:t>
      </w:r>
      <w:r>
        <w:rPr>
          <w:sz w:val="32"/>
          <w:szCs w:val="32"/>
        </w:rPr>
        <w:t xml:space="preserve">                           </w:t>
      </w:r>
      <w:r/>
    </w:p>
    <w:p>
      <w:pPr>
        <w:pStyle w:val="818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81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стоимости услуг</w:t>
      </w:r>
      <w:r>
        <w:rPr>
          <w:sz w:val="28"/>
          <w:szCs w:val="28"/>
        </w:rPr>
        <w:t xml:space="preserve"> по транспортировке </w:t>
      </w:r>
      <w:r>
        <w:rPr>
          <w:sz w:val="28"/>
          <w:szCs w:val="28"/>
        </w:rPr>
        <w:t xml:space="preserve">умерших в морг, включая погрузо-разгрузочные работы, с мест обнаружения или происшествия для производства </w:t>
      </w:r>
      <w:r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медицинской экспертизы на территории городского округа Серебряные Пруды Московской области</w:t>
      </w:r>
      <w:r>
        <w:rPr>
          <w:sz w:val="28"/>
          <w:szCs w:val="28"/>
        </w:rPr>
      </w:r>
      <w:r/>
    </w:p>
    <w:p>
      <w:pPr>
        <w:pStyle w:val="81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соответствии  с </w:t>
      </w:r>
      <w:r>
        <w:rPr>
          <w:sz w:val="28"/>
          <w:szCs w:val="28"/>
        </w:rPr>
        <w:t xml:space="preserve">Федера</w:t>
      </w:r>
      <w:r>
        <w:rPr>
          <w:sz w:val="28"/>
          <w:szCs w:val="28"/>
        </w:rPr>
        <w:t xml:space="preserve">льным законом от 12.01.1996 г №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-ФЗ</w:t>
      </w:r>
      <w:r>
        <w:rPr>
          <w:sz w:val="28"/>
          <w:szCs w:val="28"/>
        </w:rPr>
        <w:t xml:space="preserve"> « О погребении и похоронном деле», </w:t>
      </w:r>
      <w:r>
        <w:rPr>
          <w:sz w:val="28"/>
          <w:szCs w:val="28"/>
        </w:rPr>
        <w:t xml:space="preserve">Законом Московской области от 17.07.2007 года</w:t>
      </w:r>
      <w:r>
        <w:rPr>
          <w:sz w:val="28"/>
          <w:szCs w:val="28"/>
        </w:rPr>
        <w:t xml:space="preserve"> № 115/2007-ОЗ «О</w:t>
      </w:r>
      <w:r>
        <w:rPr>
          <w:sz w:val="28"/>
          <w:szCs w:val="28"/>
        </w:rPr>
        <w:t xml:space="preserve"> погребении и похоронном деле в Московской области».</w:t>
      </w:r>
      <w:r>
        <w:rPr>
          <w:sz w:val="28"/>
          <w:szCs w:val="28"/>
        </w:rPr>
      </w:r>
      <w:r/>
    </w:p>
    <w:p>
      <w:pPr>
        <w:pStyle w:val="659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pStyle w:val="81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городского округа </w:t>
      </w:r>
      <w:r>
        <w:rPr>
          <w:sz w:val="28"/>
          <w:szCs w:val="28"/>
        </w:rPr>
        <w:t xml:space="preserve">Серебряные Пруды Московской области решил:</w:t>
      </w:r>
      <w:r>
        <w:rPr>
          <w:sz w:val="28"/>
          <w:szCs w:val="28"/>
        </w:rPr>
      </w:r>
      <w:r/>
    </w:p>
    <w:p>
      <w:pPr>
        <w:pStyle w:val="818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18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твердить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стоимость услуг</w:t>
      </w:r>
      <w:r>
        <w:rPr>
          <w:sz w:val="28"/>
          <w:szCs w:val="28"/>
        </w:rPr>
        <w:t xml:space="preserve"> по транспорти</w:t>
      </w:r>
      <w:r>
        <w:rPr>
          <w:sz w:val="28"/>
          <w:szCs w:val="28"/>
        </w:rPr>
        <w:t xml:space="preserve">ровке</w:t>
      </w:r>
      <w:r>
        <w:rPr>
          <w:sz w:val="28"/>
          <w:szCs w:val="28"/>
        </w:rPr>
        <w:t xml:space="preserve"> умерших</w:t>
      </w:r>
      <w:r>
        <w:rPr>
          <w:sz w:val="28"/>
          <w:szCs w:val="28"/>
        </w:rPr>
        <w:t xml:space="preserve"> в морг</w:t>
      </w:r>
      <w:r>
        <w:rPr>
          <w:sz w:val="28"/>
          <w:szCs w:val="28"/>
        </w:rPr>
        <w:t xml:space="preserve">, включая погрузо-разгрузочные работы,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мест обнаружения </w:t>
      </w:r>
      <w:r>
        <w:rPr>
          <w:sz w:val="28"/>
          <w:szCs w:val="28"/>
        </w:rPr>
        <w:t xml:space="preserve">или происшествия для производства судебно-медицинской экспертизы на территории городского округа Серебряные Пруды Московской области (Приложение).</w:t>
      </w:r>
      <w:r>
        <w:rPr>
          <w:sz w:val="28"/>
          <w:szCs w:val="28"/>
        </w:rPr>
      </w:r>
      <w:r/>
    </w:p>
    <w:p>
      <w:pPr>
        <w:pStyle w:val="818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</w:t>
      </w:r>
      <w:r>
        <w:rPr>
          <w:sz w:val="28"/>
          <w:szCs w:val="28"/>
        </w:rPr>
        <w:t xml:space="preserve">ь утратившим силу решение № </w:t>
      </w:r>
      <w:r>
        <w:rPr>
          <w:sz w:val="28"/>
          <w:szCs w:val="28"/>
        </w:rPr>
        <w:t xml:space="preserve">153</w:t>
      </w:r>
      <w:r>
        <w:rPr>
          <w:sz w:val="28"/>
          <w:szCs w:val="28"/>
        </w:rPr>
        <w:t xml:space="preserve">/</w:t>
      </w: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.1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стои</w:t>
      </w:r>
      <w:r>
        <w:rPr>
          <w:sz w:val="28"/>
          <w:szCs w:val="28"/>
        </w:rPr>
        <w:t xml:space="preserve">мости услуг умерших в морг, включая погрузо-разгрузочные работы, с мест </w:t>
      </w:r>
      <w:r>
        <w:rPr>
          <w:sz w:val="28"/>
          <w:szCs w:val="28"/>
        </w:rPr>
        <w:t xml:space="preserve">обнаружения или п</w:t>
      </w:r>
      <w:r>
        <w:rPr>
          <w:sz w:val="28"/>
          <w:szCs w:val="28"/>
        </w:rPr>
        <w:t xml:space="preserve">роисшествия</w:t>
      </w:r>
      <w:r>
        <w:rPr>
          <w:sz w:val="28"/>
          <w:szCs w:val="28"/>
        </w:rPr>
        <w:t xml:space="preserve"> для производства судебно-медицинской экспертизы на территории городского округа Серебряные Пруды Московской области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left="0" w:right="0" w:firstLine="567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color w:val="000000" w:themeColor="text1"/>
          <w:u w:val="none"/>
        </w:rPr>
        <w:outlineLvl w:val="1"/>
      </w:pPr>
      <w:r>
        <w:rPr>
          <w:sz w:val="28"/>
          <w:szCs w:val="28"/>
        </w:rPr>
        <w:t xml:space="preserve">3.</w:t>
      </w:r>
      <w:r>
        <w:rPr>
          <w:rFonts w:eastAsia="Calibri"/>
          <w:sz w:val="28"/>
          <w:szCs w:val="28"/>
          <w:lang w:eastAsia="en-US"/>
        </w:rPr>
        <w:t xml:space="preserve"> 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 газете «Серебряно-Прудский Вестник» и в официальном сетевом издании новости Подмосковья и Московской области, доменное имя сайта в информационно-коммуникационной сети Интернет: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news-sp.ru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разместить на </w:t>
      </w:r>
      <w:hyperlink r:id="rId9" w:tooltip="http://spadm.ru" w:history="1">
        <w:r>
          <w:rPr>
            <w:rStyle w:val="80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официальном сайте администрации городского округа Серебряные Пруды Московской области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.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none"/>
          <w:lang w:eastAsia="ru-RU"/>
        </w:rPr>
      </w:r>
      <w:r>
        <w:rPr>
          <w:color w:val="000000" w:themeColor="text1"/>
          <w:u w:val="none"/>
        </w:rPr>
      </w:r>
    </w:p>
    <w:p>
      <w:pPr>
        <w:pStyle w:val="818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.Настоящее р</w:t>
      </w:r>
      <w:r>
        <w:rPr>
          <w:sz w:val="28"/>
          <w:szCs w:val="28"/>
        </w:rPr>
        <w:t xml:space="preserve">еше</w:t>
      </w:r>
      <w:r>
        <w:rPr>
          <w:sz w:val="28"/>
          <w:szCs w:val="28"/>
        </w:rPr>
        <w:t xml:space="preserve">ние вступает в силу </w:t>
      </w:r>
      <w:r>
        <w:rPr>
          <w:sz w:val="28"/>
          <w:szCs w:val="28"/>
        </w:rPr>
        <w:t xml:space="preserve">с 1 января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года. </w:t>
      </w:r>
      <w:r>
        <w:rPr>
          <w:sz w:val="28"/>
          <w:szCs w:val="28"/>
        </w:rPr>
      </w:r>
      <w:r/>
    </w:p>
    <w:p>
      <w:pPr>
        <w:pStyle w:val="818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Контроль за исполнением настоящего решения возложить на</w:t>
      </w:r>
      <w:r>
        <w:rPr>
          <w:sz w:val="28"/>
          <w:szCs w:val="28"/>
        </w:rPr>
        <w:t xml:space="preserve"> главу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Серебряные Пруды Московской области                                                                  О.В. Павлихин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</w:r>
      <w:r/>
    </w:p>
    <w:p>
      <w:pPr>
        <w:pStyle w:val="818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редседатель  Совета д</w:t>
      </w:r>
      <w:r>
        <w:rPr>
          <w:sz w:val="28"/>
          <w:szCs w:val="28"/>
        </w:rPr>
        <w:t xml:space="preserve">епутатов   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Растега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</w:r>
      <w:r/>
    </w:p>
    <w:p>
      <w:pPr>
        <w:pStyle w:val="81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ородского округа </w:t>
      </w:r>
      <w:r>
        <w:rPr>
          <w:sz w:val="28"/>
          <w:szCs w:val="28"/>
        </w:rPr>
        <w:t xml:space="preserve">Серебряные Пруды </w:t>
      </w:r>
      <w:r/>
    </w:p>
    <w:p>
      <w:pPr>
        <w:pStyle w:val="818"/>
        <w:rPr>
          <w:sz w:val="28"/>
          <w:szCs w:val="28"/>
        </w:rPr>
      </w:pPr>
      <w:r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</w:r>
      <w:r/>
    </w:p>
    <w:p>
      <w:pPr>
        <w:pStyle w:val="81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</w:r>
      <w:r/>
    </w:p>
    <w:p>
      <w:pPr>
        <w:pStyle w:val="81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Серебряные Пруды </w:t>
      </w:r>
      <w:r/>
    </w:p>
    <w:p>
      <w:pPr>
        <w:pStyle w:val="818"/>
        <w:rPr>
          <w:sz w:val="28"/>
          <w:szCs w:val="28"/>
        </w:rPr>
      </w:pPr>
      <w:r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О.В. Павлихин</w:t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/>
    </w:p>
    <w:p>
      <w:pPr>
        <w:pStyle w:val="8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к   решению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Совета депутатов</w:t>
      </w:r>
      <w:r/>
    </w:p>
    <w:p>
      <w:pPr>
        <w:pStyle w:val="8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городского округа </w:t>
      </w:r>
      <w:r>
        <w:rPr>
          <w:sz w:val="28"/>
          <w:szCs w:val="28"/>
        </w:rPr>
      </w:r>
      <w:r/>
    </w:p>
    <w:p>
      <w:pPr>
        <w:pStyle w:val="8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Серебряные Пруды </w:t>
      </w:r>
      <w:r/>
    </w:p>
    <w:p>
      <w:pPr>
        <w:pStyle w:val="8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Московской области</w:t>
      </w:r>
      <w:r>
        <w:rPr>
          <w:sz w:val="28"/>
          <w:szCs w:val="28"/>
        </w:rPr>
      </w:r>
      <w:r/>
    </w:p>
    <w:p>
      <w:pPr>
        <w:pStyle w:val="82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15.11.2024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229/35</w:t>
      </w:r>
      <w:r>
        <w:rPr>
          <w:sz w:val="28"/>
          <w:szCs w:val="28"/>
        </w:rPr>
      </w:r>
      <w:r/>
    </w:p>
    <w:p>
      <w:pPr>
        <w:pStyle w:val="81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8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СТОИМОСТЬ  УСЛУГ</w:t>
      </w:r>
      <w:r>
        <w:rPr>
          <w:sz w:val="28"/>
          <w:szCs w:val="28"/>
        </w:rPr>
      </w:r>
      <w:r/>
    </w:p>
    <w:p>
      <w:pPr>
        <w:pStyle w:val="81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 транспортировке </w:t>
      </w:r>
      <w:r>
        <w:rPr>
          <w:sz w:val="28"/>
          <w:szCs w:val="28"/>
        </w:rPr>
        <w:t xml:space="preserve"> умерших в морг, включая погрузо-разгрузочные работы, с мест обнаружения или происшествия для производства  судебно- медицинской экспертизы на территории городского округа Серебряные Пруды Московской области</w:t>
      </w:r>
      <w:r/>
    </w:p>
    <w:p>
      <w:pPr>
        <w:pStyle w:val="81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82"/>
        <w:gridCol w:w="4137"/>
        <w:gridCol w:w="2393"/>
        <w:gridCol w:w="2393"/>
      </w:tblGrid>
      <w:tr>
        <w:trPr/>
        <w:tc>
          <w:tcPr>
            <w:tcW w:w="682" w:type="dxa"/>
            <w:vAlign w:val="top"/>
            <w:textDirection w:val="lrTb"/>
            <w:noWrap w:val="false"/>
          </w:tcPr>
          <w:p>
            <w:pPr>
              <w:pStyle w:val="8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137" w:type="dxa"/>
            <w:vAlign w:val="top"/>
            <w:textDirection w:val="lrTb"/>
            <w:noWrap w:val="false"/>
          </w:tcPr>
          <w:p>
            <w:pPr>
              <w:pStyle w:val="8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Наименование  услуг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 работ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Тариф руб.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682" w:type="dxa"/>
            <w:vAlign w:val="top"/>
            <w:textDirection w:val="lrTb"/>
            <w:noWrap w:val="false"/>
          </w:tcPr>
          <w:p>
            <w:pPr>
              <w:pStyle w:val="8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137" w:type="dxa"/>
            <w:vAlign w:val="top"/>
            <w:textDirection w:val="lrTb"/>
            <w:noWrap w:val="false"/>
          </w:tcPr>
          <w:p>
            <w:pPr>
              <w:pStyle w:val="8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транспортировка умерших в морг, включая погрузо-разгрузочные работы, с мест обнаружения или происшествия для производства  судебно- медицинской экспертизы на территории городского округа Серебряные Пруды Московской области</w:t>
            </w:r>
            <w:r/>
          </w:p>
          <w:p>
            <w:pPr>
              <w:pStyle w:val="8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автокатафалка для выполнения услуг по транспортировке тела умершего в морг с мест обнаружения или происшествия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транспортировка тела умершего в морг  с мест  обнаружения или происшествия</w:t>
            </w:r>
            <w:r/>
          </w:p>
          <w:p>
            <w:pPr>
              <w:pStyle w:val="8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  <w:lang w:val="en-US"/>
              </w:rPr>
              <w:t xml:space="preserve">6</w:t>
            </w:r>
            <w:r>
              <w:rPr>
                <w:sz w:val="28"/>
                <w:szCs w:val="28"/>
              </w:rPr>
              <w:t xml:space="preserve">000,00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81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8"/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532" w:right="850" w:bottom="142" w:left="1701" w:header="426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8"/>
        <w:ind w:left="3240" w:hanging="360"/>
        <w:tabs>
          <w:tab w:val="num" w:pos="324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18"/>
        <w:ind w:left="3960" w:hanging="360"/>
        <w:tabs>
          <w:tab w:val="num" w:pos="39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18"/>
        <w:ind w:left="4680" w:hanging="180"/>
        <w:tabs>
          <w:tab w:val="num" w:pos="46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18"/>
        <w:ind w:left="5400" w:hanging="360"/>
        <w:tabs>
          <w:tab w:val="num" w:pos="54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18"/>
        <w:ind w:left="6120" w:hanging="360"/>
        <w:tabs>
          <w:tab w:val="num" w:pos="61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18"/>
        <w:ind w:left="6840" w:hanging="180"/>
        <w:tabs>
          <w:tab w:val="num" w:pos="68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18"/>
        <w:ind w:left="7560" w:hanging="360"/>
        <w:tabs>
          <w:tab w:val="num" w:pos="75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18"/>
        <w:ind w:left="8280" w:hanging="360"/>
        <w:tabs>
          <w:tab w:val="num" w:pos="82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18"/>
        <w:ind w:left="9000" w:hanging="180"/>
        <w:tabs>
          <w:tab w:val="num" w:pos="900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8"/>
        <w:ind w:left="435" w:hanging="360"/>
        <w:tabs>
          <w:tab w:val="num" w:pos="43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18"/>
        <w:ind w:left="1155" w:hanging="360"/>
        <w:tabs>
          <w:tab w:val="num" w:pos="115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18"/>
        <w:ind w:left="1875" w:hanging="180"/>
        <w:tabs>
          <w:tab w:val="num" w:pos="187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18"/>
        <w:ind w:left="2595" w:hanging="360"/>
        <w:tabs>
          <w:tab w:val="num" w:pos="259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18"/>
        <w:ind w:left="3315" w:hanging="360"/>
        <w:tabs>
          <w:tab w:val="num" w:pos="331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18"/>
        <w:ind w:left="4035" w:hanging="180"/>
        <w:tabs>
          <w:tab w:val="num" w:pos="403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18"/>
        <w:ind w:left="4755" w:hanging="360"/>
        <w:tabs>
          <w:tab w:val="num" w:pos="475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18"/>
        <w:ind w:left="5475" w:hanging="360"/>
        <w:tabs>
          <w:tab w:val="num" w:pos="547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18"/>
        <w:ind w:left="6195" w:hanging="180"/>
        <w:tabs>
          <w:tab w:val="num" w:pos="6195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8"/>
    <w:next w:val="818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1">
    <w:name w:val="Heading 1 Char"/>
    <w:link w:val="640"/>
    <w:uiPriority w:val="9"/>
    <w:rPr>
      <w:rFonts w:ascii="Arial" w:hAnsi="Arial" w:eastAsia="Arial" w:cs="Arial"/>
      <w:sz w:val="40"/>
      <w:szCs w:val="40"/>
    </w:rPr>
  </w:style>
  <w:style w:type="paragraph" w:styleId="642">
    <w:name w:val="Heading 2"/>
    <w:basedOn w:val="818"/>
    <w:next w:val="818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3">
    <w:name w:val="Heading 2 Char"/>
    <w:link w:val="642"/>
    <w:uiPriority w:val="9"/>
    <w:rPr>
      <w:rFonts w:ascii="Arial" w:hAnsi="Arial" w:eastAsia="Arial" w:cs="Arial"/>
      <w:sz w:val="34"/>
    </w:rPr>
  </w:style>
  <w:style w:type="paragraph" w:styleId="644">
    <w:name w:val="Heading 3"/>
    <w:basedOn w:val="818"/>
    <w:next w:val="818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5">
    <w:name w:val="Heading 3 Char"/>
    <w:link w:val="644"/>
    <w:uiPriority w:val="9"/>
    <w:rPr>
      <w:rFonts w:ascii="Arial" w:hAnsi="Arial" w:eastAsia="Arial" w:cs="Arial"/>
      <w:sz w:val="30"/>
      <w:szCs w:val="30"/>
    </w:rPr>
  </w:style>
  <w:style w:type="paragraph" w:styleId="646">
    <w:name w:val="Heading 4"/>
    <w:basedOn w:val="818"/>
    <w:next w:val="818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7">
    <w:name w:val="Heading 4 Char"/>
    <w:link w:val="646"/>
    <w:uiPriority w:val="9"/>
    <w:rPr>
      <w:rFonts w:ascii="Arial" w:hAnsi="Arial" w:eastAsia="Arial" w:cs="Arial"/>
      <w:b/>
      <w:bCs/>
      <w:sz w:val="26"/>
      <w:szCs w:val="26"/>
    </w:rPr>
  </w:style>
  <w:style w:type="paragraph" w:styleId="648">
    <w:name w:val="Heading 5"/>
    <w:basedOn w:val="818"/>
    <w:next w:val="818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9">
    <w:name w:val="Heading 5 Char"/>
    <w:link w:val="648"/>
    <w:uiPriority w:val="9"/>
    <w:rPr>
      <w:rFonts w:ascii="Arial" w:hAnsi="Arial" w:eastAsia="Arial" w:cs="Arial"/>
      <w:b/>
      <w:bCs/>
      <w:sz w:val="24"/>
      <w:szCs w:val="24"/>
    </w:rPr>
  </w:style>
  <w:style w:type="paragraph" w:styleId="650">
    <w:name w:val="Heading 6"/>
    <w:basedOn w:val="818"/>
    <w:next w:val="818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1">
    <w:name w:val="Heading 6 Char"/>
    <w:link w:val="650"/>
    <w:uiPriority w:val="9"/>
    <w:rPr>
      <w:rFonts w:ascii="Arial" w:hAnsi="Arial" w:eastAsia="Arial" w:cs="Arial"/>
      <w:b/>
      <w:bCs/>
      <w:sz w:val="22"/>
      <w:szCs w:val="22"/>
    </w:rPr>
  </w:style>
  <w:style w:type="paragraph" w:styleId="652">
    <w:name w:val="Heading 7"/>
    <w:basedOn w:val="818"/>
    <w:next w:val="818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3">
    <w:name w:val="Heading 7 Char"/>
    <w:link w:val="6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4">
    <w:name w:val="Heading 8"/>
    <w:basedOn w:val="818"/>
    <w:next w:val="818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5">
    <w:name w:val="Heading 8 Char"/>
    <w:link w:val="654"/>
    <w:uiPriority w:val="9"/>
    <w:rPr>
      <w:rFonts w:ascii="Arial" w:hAnsi="Arial" w:eastAsia="Arial" w:cs="Arial"/>
      <w:i/>
      <w:iCs/>
      <w:sz w:val="22"/>
      <w:szCs w:val="22"/>
    </w:rPr>
  </w:style>
  <w:style w:type="paragraph" w:styleId="656">
    <w:name w:val="Heading 9"/>
    <w:basedOn w:val="818"/>
    <w:next w:val="818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7">
    <w:name w:val="Heading 9 Char"/>
    <w:link w:val="656"/>
    <w:uiPriority w:val="9"/>
    <w:rPr>
      <w:rFonts w:ascii="Arial" w:hAnsi="Arial" w:eastAsia="Arial" w:cs="Arial"/>
      <w:i/>
      <w:iCs/>
      <w:sz w:val="21"/>
      <w:szCs w:val="21"/>
    </w:rPr>
  </w:style>
  <w:style w:type="paragraph" w:styleId="658">
    <w:name w:val="List Paragraph"/>
    <w:basedOn w:val="818"/>
    <w:uiPriority w:val="34"/>
    <w:qFormat/>
    <w:pPr>
      <w:contextualSpacing/>
      <w:ind w:left="720"/>
    </w:pPr>
  </w:style>
  <w:style w:type="paragraph" w:styleId="659">
    <w:name w:val="No Spacing"/>
    <w:uiPriority w:val="1"/>
    <w:qFormat/>
    <w:pPr>
      <w:spacing w:before="0" w:after="0" w:line="240" w:lineRule="auto"/>
    </w:pPr>
  </w:style>
  <w:style w:type="paragraph" w:styleId="660">
    <w:name w:val="Title"/>
    <w:basedOn w:val="818"/>
    <w:next w:val="818"/>
    <w:link w:val="6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1">
    <w:name w:val="Title Char"/>
    <w:link w:val="660"/>
    <w:uiPriority w:val="10"/>
    <w:rPr>
      <w:sz w:val="48"/>
      <w:szCs w:val="48"/>
    </w:rPr>
  </w:style>
  <w:style w:type="paragraph" w:styleId="662">
    <w:name w:val="Subtitle"/>
    <w:basedOn w:val="818"/>
    <w:next w:val="818"/>
    <w:link w:val="663"/>
    <w:uiPriority w:val="11"/>
    <w:qFormat/>
    <w:pPr>
      <w:spacing w:before="200" w:after="200"/>
    </w:pPr>
    <w:rPr>
      <w:sz w:val="24"/>
      <w:szCs w:val="24"/>
    </w:rPr>
  </w:style>
  <w:style w:type="character" w:styleId="663">
    <w:name w:val="Subtitle Char"/>
    <w:link w:val="662"/>
    <w:uiPriority w:val="11"/>
    <w:rPr>
      <w:sz w:val="24"/>
      <w:szCs w:val="24"/>
    </w:rPr>
  </w:style>
  <w:style w:type="paragraph" w:styleId="664">
    <w:name w:val="Quote"/>
    <w:basedOn w:val="818"/>
    <w:next w:val="818"/>
    <w:link w:val="665"/>
    <w:uiPriority w:val="29"/>
    <w:qFormat/>
    <w:pPr>
      <w:ind w:left="720" w:right="720"/>
    </w:pPr>
    <w:rPr>
      <w:i/>
    </w:rPr>
  </w:style>
  <w:style w:type="character" w:styleId="665">
    <w:name w:val="Quote Char"/>
    <w:link w:val="664"/>
    <w:uiPriority w:val="29"/>
    <w:rPr>
      <w:i/>
    </w:rPr>
  </w:style>
  <w:style w:type="paragraph" w:styleId="666">
    <w:name w:val="Intense Quote"/>
    <w:basedOn w:val="818"/>
    <w:next w:val="818"/>
    <w:link w:val="66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7">
    <w:name w:val="Intense Quote Char"/>
    <w:link w:val="666"/>
    <w:uiPriority w:val="30"/>
    <w:rPr>
      <w:i/>
    </w:rPr>
  </w:style>
  <w:style w:type="paragraph" w:styleId="668">
    <w:name w:val="Header"/>
    <w:basedOn w:val="818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Header Char"/>
    <w:link w:val="668"/>
    <w:uiPriority w:val="99"/>
  </w:style>
  <w:style w:type="paragraph" w:styleId="670">
    <w:name w:val="Footer"/>
    <w:basedOn w:val="818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Footer Char"/>
    <w:link w:val="670"/>
    <w:uiPriority w:val="99"/>
  </w:style>
  <w:style w:type="paragraph" w:styleId="672">
    <w:name w:val="Caption"/>
    <w:basedOn w:val="818"/>
    <w:next w:val="8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3">
    <w:name w:val="Caption Char"/>
    <w:basedOn w:val="672"/>
    <w:link w:val="670"/>
    <w:uiPriority w:val="99"/>
  </w:style>
  <w:style w:type="table" w:styleId="67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0">
    <w:name w:val="Hyperlink"/>
    <w:uiPriority w:val="99"/>
    <w:unhideWhenUsed/>
    <w:rPr>
      <w:color w:val="0000ff" w:themeColor="hyperlink"/>
      <w:u w:val="single"/>
    </w:rPr>
  </w:style>
  <w:style w:type="paragraph" w:styleId="801">
    <w:name w:val="footnote text"/>
    <w:basedOn w:val="818"/>
    <w:link w:val="802"/>
    <w:uiPriority w:val="99"/>
    <w:semiHidden/>
    <w:unhideWhenUsed/>
    <w:pPr>
      <w:spacing w:after="40" w:line="240" w:lineRule="auto"/>
    </w:pPr>
    <w:rPr>
      <w:sz w:val="18"/>
    </w:rPr>
  </w:style>
  <w:style w:type="character" w:styleId="802">
    <w:name w:val="Footnote Text Char"/>
    <w:link w:val="801"/>
    <w:uiPriority w:val="99"/>
    <w:rPr>
      <w:sz w:val="18"/>
    </w:rPr>
  </w:style>
  <w:style w:type="character" w:styleId="803">
    <w:name w:val="footnote reference"/>
    <w:uiPriority w:val="99"/>
    <w:unhideWhenUsed/>
    <w:rPr>
      <w:vertAlign w:val="superscript"/>
    </w:rPr>
  </w:style>
  <w:style w:type="paragraph" w:styleId="804">
    <w:name w:val="endnote text"/>
    <w:basedOn w:val="818"/>
    <w:link w:val="805"/>
    <w:uiPriority w:val="99"/>
    <w:semiHidden/>
    <w:unhideWhenUsed/>
    <w:pPr>
      <w:spacing w:after="0" w:line="240" w:lineRule="auto"/>
    </w:pPr>
    <w:rPr>
      <w:sz w:val="20"/>
    </w:rPr>
  </w:style>
  <w:style w:type="character" w:styleId="805">
    <w:name w:val="Endnote Text Char"/>
    <w:link w:val="804"/>
    <w:uiPriority w:val="99"/>
    <w:rPr>
      <w:sz w:val="20"/>
    </w:rPr>
  </w:style>
  <w:style w:type="character" w:styleId="806">
    <w:name w:val="endnote reference"/>
    <w:uiPriority w:val="99"/>
    <w:semiHidden/>
    <w:unhideWhenUsed/>
    <w:rPr>
      <w:vertAlign w:val="superscript"/>
    </w:rPr>
  </w:style>
  <w:style w:type="paragraph" w:styleId="807">
    <w:name w:val="toc 1"/>
    <w:basedOn w:val="818"/>
    <w:next w:val="818"/>
    <w:uiPriority w:val="39"/>
    <w:unhideWhenUsed/>
    <w:pPr>
      <w:ind w:left="0" w:right="0" w:firstLine="0"/>
      <w:spacing w:after="57"/>
    </w:pPr>
  </w:style>
  <w:style w:type="paragraph" w:styleId="808">
    <w:name w:val="toc 2"/>
    <w:basedOn w:val="818"/>
    <w:next w:val="818"/>
    <w:uiPriority w:val="39"/>
    <w:unhideWhenUsed/>
    <w:pPr>
      <w:ind w:left="283" w:right="0" w:firstLine="0"/>
      <w:spacing w:after="57"/>
    </w:pPr>
  </w:style>
  <w:style w:type="paragraph" w:styleId="809">
    <w:name w:val="toc 3"/>
    <w:basedOn w:val="818"/>
    <w:next w:val="818"/>
    <w:uiPriority w:val="39"/>
    <w:unhideWhenUsed/>
    <w:pPr>
      <w:ind w:left="567" w:right="0" w:firstLine="0"/>
      <w:spacing w:after="57"/>
    </w:pPr>
  </w:style>
  <w:style w:type="paragraph" w:styleId="810">
    <w:name w:val="toc 4"/>
    <w:basedOn w:val="818"/>
    <w:next w:val="818"/>
    <w:uiPriority w:val="39"/>
    <w:unhideWhenUsed/>
    <w:pPr>
      <w:ind w:left="850" w:right="0" w:firstLine="0"/>
      <w:spacing w:after="57"/>
    </w:pPr>
  </w:style>
  <w:style w:type="paragraph" w:styleId="811">
    <w:name w:val="toc 5"/>
    <w:basedOn w:val="818"/>
    <w:next w:val="818"/>
    <w:uiPriority w:val="39"/>
    <w:unhideWhenUsed/>
    <w:pPr>
      <w:ind w:left="1134" w:right="0" w:firstLine="0"/>
      <w:spacing w:after="57"/>
    </w:pPr>
  </w:style>
  <w:style w:type="paragraph" w:styleId="812">
    <w:name w:val="toc 6"/>
    <w:basedOn w:val="818"/>
    <w:next w:val="818"/>
    <w:uiPriority w:val="39"/>
    <w:unhideWhenUsed/>
    <w:pPr>
      <w:ind w:left="1417" w:right="0" w:firstLine="0"/>
      <w:spacing w:after="57"/>
    </w:pPr>
  </w:style>
  <w:style w:type="paragraph" w:styleId="813">
    <w:name w:val="toc 7"/>
    <w:basedOn w:val="818"/>
    <w:next w:val="818"/>
    <w:uiPriority w:val="39"/>
    <w:unhideWhenUsed/>
    <w:pPr>
      <w:ind w:left="1701" w:right="0" w:firstLine="0"/>
      <w:spacing w:after="57"/>
    </w:pPr>
  </w:style>
  <w:style w:type="paragraph" w:styleId="814">
    <w:name w:val="toc 8"/>
    <w:basedOn w:val="818"/>
    <w:next w:val="818"/>
    <w:uiPriority w:val="39"/>
    <w:unhideWhenUsed/>
    <w:pPr>
      <w:ind w:left="1984" w:right="0" w:firstLine="0"/>
      <w:spacing w:after="57"/>
    </w:pPr>
  </w:style>
  <w:style w:type="paragraph" w:styleId="815">
    <w:name w:val="toc 9"/>
    <w:basedOn w:val="818"/>
    <w:next w:val="818"/>
    <w:uiPriority w:val="39"/>
    <w:unhideWhenUsed/>
    <w:pPr>
      <w:ind w:left="2268" w:right="0" w:firstLine="0"/>
      <w:spacing w:after="57"/>
    </w:pPr>
  </w:style>
  <w:style w:type="paragraph" w:styleId="816">
    <w:name w:val="TOC Heading"/>
    <w:uiPriority w:val="39"/>
    <w:unhideWhenUsed/>
  </w:style>
  <w:style w:type="paragraph" w:styleId="817">
    <w:name w:val="table of figures"/>
    <w:basedOn w:val="818"/>
    <w:next w:val="818"/>
    <w:uiPriority w:val="99"/>
    <w:unhideWhenUsed/>
    <w:pPr>
      <w:spacing w:after="0" w:afterAutospacing="0"/>
    </w:pPr>
  </w:style>
  <w:style w:type="paragraph" w:styleId="818" w:default="1">
    <w:name w:val="Normal"/>
    <w:next w:val="818"/>
    <w:link w:val="818"/>
    <w:qFormat/>
    <w:rPr>
      <w:sz w:val="24"/>
      <w:szCs w:val="24"/>
      <w:lang w:val="ru-RU" w:eastAsia="ru-RU" w:bidi="ar-SA"/>
    </w:rPr>
  </w:style>
  <w:style w:type="character" w:styleId="819">
    <w:name w:val="Основной шрифт абзаца"/>
    <w:next w:val="819"/>
    <w:link w:val="818"/>
    <w:semiHidden/>
  </w:style>
  <w:style w:type="table" w:styleId="820">
    <w:name w:val="Обычная таблица"/>
    <w:next w:val="820"/>
    <w:link w:val="818"/>
    <w:semiHidden/>
    <w:tblPr/>
  </w:style>
  <w:style w:type="numbering" w:styleId="821">
    <w:name w:val="Нет списка"/>
    <w:next w:val="821"/>
    <w:link w:val="818"/>
    <w:semiHidden/>
  </w:style>
  <w:style w:type="table" w:styleId="822">
    <w:name w:val="Сетка таблицы"/>
    <w:basedOn w:val="820"/>
    <w:next w:val="822"/>
    <w:link w:val="818"/>
    <w:tblPr/>
  </w:style>
  <w:style w:type="paragraph" w:styleId="823">
    <w:name w:val="Без интервала"/>
    <w:next w:val="823"/>
    <w:link w:val="818"/>
    <w:uiPriority w:val="1"/>
    <w:qFormat/>
    <w:rPr>
      <w:sz w:val="24"/>
      <w:szCs w:val="24"/>
      <w:lang w:val="ru-RU" w:eastAsia="ru-RU" w:bidi="ar-SA"/>
    </w:rPr>
  </w:style>
  <w:style w:type="paragraph" w:styleId="824">
    <w:name w:val="Текст выноски"/>
    <w:basedOn w:val="818"/>
    <w:next w:val="824"/>
    <w:link w:val="825"/>
    <w:uiPriority w:val="99"/>
    <w:semiHidden/>
    <w:unhideWhenUsed/>
    <w:rPr>
      <w:rFonts w:ascii="Tahoma" w:hAnsi="Tahoma" w:cs="Tahoma"/>
      <w:sz w:val="16"/>
      <w:szCs w:val="16"/>
    </w:rPr>
  </w:style>
  <w:style w:type="character" w:styleId="825">
    <w:name w:val="Текст выноски Знак"/>
    <w:next w:val="825"/>
    <w:link w:val="824"/>
    <w:uiPriority w:val="99"/>
    <w:semiHidden/>
    <w:rPr>
      <w:rFonts w:ascii="Tahoma" w:hAnsi="Tahoma" w:cs="Tahoma"/>
      <w:sz w:val="16"/>
      <w:szCs w:val="16"/>
    </w:rPr>
  </w:style>
  <w:style w:type="paragraph" w:styleId="826">
    <w:name w:val="Верхний колонтитул"/>
    <w:basedOn w:val="818"/>
    <w:next w:val="826"/>
    <w:link w:val="82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27">
    <w:name w:val="Верхний колонтитул Знак"/>
    <w:next w:val="827"/>
    <w:link w:val="826"/>
    <w:uiPriority w:val="99"/>
    <w:rPr>
      <w:sz w:val="24"/>
      <w:szCs w:val="24"/>
    </w:rPr>
  </w:style>
  <w:style w:type="paragraph" w:styleId="828">
    <w:name w:val="Нижний колонтитул"/>
    <w:basedOn w:val="818"/>
    <w:next w:val="828"/>
    <w:link w:val="82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29">
    <w:name w:val="Нижний колонтитул Знак"/>
    <w:next w:val="829"/>
    <w:link w:val="828"/>
    <w:uiPriority w:val="99"/>
    <w:rPr>
      <w:sz w:val="24"/>
      <w:szCs w:val="24"/>
    </w:rPr>
  </w:style>
  <w:style w:type="character" w:styleId="830" w:default="1">
    <w:name w:val="Default Paragraph Font"/>
    <w:uiPriority w:val="1"/>
    <w:semiHidden/>
    <w:unhideWhenUsed/>
  </w:style>
  <w:style w:type="numbering" w:styleId="831" w:default="1">
    <w:name w:val="No List"/>
    <w:uiPriority w:val="99"/>
    <w:semiHidden/>
    <w:unhideWhenUsed/>
  </w:style>
  <w:style w:type="table" w:styleId="83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spad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РОССИСКАЯ ФЕДЕРАЦИЯ</dc:title>
  <dc:creator>воропаева</dc:creator>
  <cp:revision>5</cp:revision>
  <dcterms:created xsi:type="dcterms:W3CDTF">2024-11-07T08:12:00Z</dcterms:created>
  <dcterms:modified xsi:type="dcterms:W3CDTF">2024-11-21T09:18:07Z</dcterms:modified>
  <cp:version>917504</cp:version>
</cp:coreProperties>
</file>