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right"/>
        <w:rPr>
          <w:sz w:val="32"/>
        </w:rPr>
      </w:pPr>
      <w:r>
        <w:t xml:space="preserve">                     </w:t>
      </w:r>
      <w:r>
        <w:rPr>
          <w:sz w:val="32"/>
        </w:rPr>
        <w:t xml:space="preserve">П Р О Е К Т</w:t>
      </w:r>
      <w:r>
        <w:rPr>
          <w:sz w:val="32"/>
        </w:rPr>
      </w:r>
      <w:r/>
    </w:p>
    <w:p>
      <w:pPr>
        <w:pStyle w:val="642"/>
        <w:jc w:val="center"/>
      </w:pPr>
      <w:r>
        <w:rPr>
          <w:sz w:val="36"/>
          <w:szCs w:val="36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2667501</wp:posOffset>
                </wp:positionH>
                <wp:positionV relativeFrom="paragraph">
                  <wp:posOffset>72405</wp:posOffset>
                </wp:positionV>
                <wp:extent cx="818114" cy="1023431"/>
                <wp:effectExtent l="0" t="0" r="0" b="0"/>
                <wp:wrapTopAndBottom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18113" cy="1023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210.0pt;mso-position-horizontal:absolute;mso-position-vertical-relative:text;margin-top:5.7pt;mso-position-vertical:absolute;width:64.4pt;height:80.6pt;">
                <v:path textboxrect="0,0,0,0"/>
                <v:imagedata r:id="rId9" o:title=""/>
              </v:shape>
            </w:pict>
          </mc:Fallback>
        </mc:AlternateContent>
      </w:r>
      <w:r>
        <w:rPr>
          <w:sz w:val="36"/>
          <w:szCs w:val="36"/>
        </w:rPr>
        <w:t xml:space="preserve">А Д М И Н И С Т Р А Ц И Я</w:t>
      </w:r>
      <w:r>
        <w:rPr>
          <w:sz w:val="28"/>
          <w:szCs w:val="28"/>
        </w:rPr>
      </w:r>
      <w:r/>
    </w:p>
    <w:p>
      <w:pPr>
        <w:pStyle w:val="642"/>
        <w:jc w:val="center"/>
      </w:pPr>
      <w:r>
        <w:rPr>
          <w:sz w:val="32"/>
          <w:szCs w:val="32"/>
        </w:rPr>
        <w:t xml:space="preserve">МУНИЦИПАЛЬНОГО</w:t>
      </w:r>
      <w:r>
        <w:rPr>
          <w:sz w:val="32"/>
          <w:szCs w:val="32"/>
        </w:rPr>
        <w:t xml:space="preserve"> ОКРУГА СЕРЕБРЯНЫЕ ПРУДЫ</w:t>
      </w:r>
      <w:r>
        <w:rPr>
          <w:sz w:val="32"/>
          <w:szCs w:val="32"/>
        </w:rPr>
      </w:r>
      <w:r/>
    </w:p>
    <w:p>
      <w:pPr>
        <w:pStyle w:val="642"/>
        <w:jc w:val="center"/>
        <w:spacing w:lineRule="auto" w:line="360"/>
      </w:pPr>
      <w:r>
        <w:rPr>
          <w:sz w:val="28"/>
          <w:szCs w:val="28"/>
        </w:rPr>
        <w:t xml:space="preserve">МОСКОВСКОЙ ОБЛАСТИ </w:t>
      </w:r>
      <w:r>
        <w:rPr>
          <w:sz w:val="22"/>
          <w:szCs w:val="22"/>
        </w:rPr>
      </w:r>
      <w:r/>
    </w:p>
    <w:p>
      <w:pPr>
        <w:pStyle w:val="642"/>
        <w:jc w:val="center"/>
        <w:spacing w:lineRule="auto" w:line="360"/>
      </w:pPr>
      <w:r>
        <w:rPr>
          <w:b/>
          <w:sz w:val="36"/>
          <w:szCs w:val="36"/>
        </w:rPr>
        <w:t xml:space="preserve">П О С Т А Н О В Л Е Н И Е</w:t>
      </w:r>
      <w:r>
        <w:rPr>
          <w:b/>
          <w:sz w:val="36"/>
          <w:szCs w:val="36"/>
        </w:rPr>
      </w:r>
      <w:r/>
    </w:p>
    <w:p>
      <w:pPr>
        <w:pStyle w:val="642"/>
        <w:jc w:val="center"/>
        <w:spacing w:lineRule="auto" w:line="360"/>
      </w:pPr>
      <w:r>
        <w:rPr>
          <w:sz w:val="36"/>
          <w:szCs w:val="36"/>
        </w:rPr>
        <w:t xml:space="preserve">____________ №____________</w:t>
      </w:r>
      <w:r>
        <w:rPr>
          <w:sz w:val="36"/>
          <w:szCs w:val="36"/>
        </w:rPr>
      </w:r>
      <w:r/>
    </w:p>
    <w:p>
      <w:pPr>
        <w:jc w:val="center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center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215 Гражданского кодекса Российской Федерации, п. 10 ст. 32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28 января 2006 года № 47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Уставов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округа Серебряные Пруды Московской области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7"/>
        <w:ind w:left="0" w:right="0" w:firstLine="720"/>
        <w:jc w:val="both"/>
        <w:spacing w:lineRule="atLeast" w:line="20"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Утвердить Порядок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 (приложение № 1).</w:t>
      </w:r>
      <w:r/>
    </w:p>
    <w:p>
      <w:pPr>
        <w:pStyle w:val="637"/>
        <w:ind w:left="0" w:right="0" w:firstLine="720"/>
        <w:jc w:val="both"/>
        <w:spacing w:lineRule="atLeast" w:line="20" w:after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Признать утратившим силу Постановление Администрации городского округа Серебряные Пруды Московской области от 01 октября 2024 г. № 1447 «Об утверждении Порядка сноса многоквартирных жилых домов, зданий и сооружений, нежилых зданий и сооружений, признанны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непригодными для проживания, аварийными и подлежащими сносу».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lineRule="auto" w:line="240" w:after="0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постановление в сетевом издании «Городской округ Серебряные Пруды», доменное имя сайта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color w:val="000000"/>
          <w:sz w:val="28"/>
          <w:szCs w:val="28"/>
        </w:rPr>
        <w:t xml:space="preserve"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spadm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lineRule="auto" w:line="240" w:after="0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4. Настоящее постановление вступает в силу после его официального опубликования.</w:t>
      </w:r>
      <w:r>
        <w:rPr>
          <w:rFonts w:ascii="Times New Roman" w:hAnsi="Times New Roman"/>
          <w:color w:val="000000"/>
          <w:highlight w:val="none"/>
        </w:rPr>
      </w:r>
      <w:r/>
    </w:p>
    <w:p>
      <w:pPr>
        <w:ind w:left="0" w:firstLine="708"/>
        <w:jc w:val="both"/>
        <w:spacing w:lineRule="atLeast" w:line="20" w:after="0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u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округа Серебряные Пруды Московской области – начальника территориального управления С.Н. Севостьянову.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                                       О.В. Павлихин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3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</w:rPr>
        <w:t xml:space="preserve">Приложение № 1 </w:t>
      </w: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к постановлению администрации</w:t>
      </w: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муниципального округа </w:t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Серебряные Пруды </w:t>
      </w:r>
      <w:r>
        <w:rPr>
          <w:sz w:val="26"/>
          <w:highlight w:val="none"/>
        </w:rPr>
        <w:t xml:space="preserve">Московской области</w:t>
      </w: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  <w:t xml:space="preserve">от « ___ » ______________20 __ г. № _____</w:t>
      </w: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  <w:r/>
    </w:p>
    <w:p>
      <w:pPr>
        <w:pStyle w:val="642"/>
        <w:jc w:val="center"/>
        <w:tabs>
          <w:tab w:val="left" w:pos="6075" w:leader="none"/>
        </w:tabs>
        <w:rPr>
          <w:sz w:val="26"/>
          <w:highlight w:val="none"/>
        </w:rPr>
      </w:pPr>
      <w:r>
        <w:rPr>
          <w:sz w:val="26"/>
          <w:highlight w:val="none"/>
        </w:rPr>
      </w:r>
      <w:r>
        <w:rPr>
          <w:sz w:val="26"/>
          <w:highlight w:val="none"/>
        </w:rPr>
      </w:r>
      <w:r/>
    </w:p>
    <w:p>
      <w:pPr>
        <w:pStyle w:val="639"/>
        <w:jc w:val="center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Порядок сноса многоквартирных жилых домов,</w:t>
      </w:r>
      <w:r>
        <w:rPr>
          <w:sz w:val="26"/>
        </w:rPr>
      </w:r>
    </w:p>
    <w:p>
      <w:pPr>
        <w:pStyle w:val="639"/>
        <w:jc w:val="center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зданий и сооружений, нежилых зданий и сооружений, признанных непригодными для проживания, аварийными и подлежащими сносу</w:t>
      </w:r>
      <w:r>
        <w:rPr>
          <w:sz w:val="26"/>
        </w:rPr>
      </w:r>
    </w:p>
    <w:p>
      <w:pPr>
        <w:pStyle w:val="6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16"/>
        </w:rPr>
      </w:r>
      <w:r/>
    </w:p>
    <w:p>
      <w:pPr>
        <w:pStyle w:val="639"/>
        <w:jc w:val="both"/>
        <w:rPr>
          <w:rFonts w:ascii="Times New Roman" w:hAnsi="Times New Roman"/>
          <w:sz w:val="26"/>
          <w:szCs w:val="16"/>
        </w:rPr>
      </w:pPr>
      <w:r>
        <w:rPr>
          <w:rFonts w:ascii="Times New Roman" w:hAnsi="Times New Roman"/>
          <w:sz w:val="26"/>
          <w:szCs w:val="16"/>
        </w:rPr>
      </w:r>
      <w:r>
        <w:rPr>
          <w:rFonts w:ascii="Times New Roman" w:hAnsi="Times New Roman"/>
          <w:sz w:val="26"/>
          <w:szCs w:val="16"/>
        </w:rPr>
      </w:r>
    </w:p>
    <w:p>
      <w:pPr>
        <w:pStyle w:val="639"/>
        <w:ind w:firstLine="708"/>
        <w:jc w:val="both"/>
        <w:rPr>
          <w:rFonts w:ascii="Times New Roman" w:hAnsi="Times New Roman"/>
          <w:sz w:val="26"/>
          <w:szCs w:val="16"/>
        </w:rPr>
      </w:pPr>
      <w:r>
        <w:rPr>
          <w:rFonts w:ascii="Times New Roman" w:hAnsi="Times New Roman"/>
          <w:sz w:val="26"/>
          <w:szCs w:val="16"/>
        </w:rPr>
        <w:t xml:space="preserve">1. Общие положения</w:t>
      </w:r>
      <w:r>
        <w:rPr>
          <w:sz w:val="26"/>
        </w:rPr>
      </w:r>
      <w:r>
        <w:rPr>
          <w:rFonts w:ascii="Times New Roman" w:hAnsi="Times New Roman"/>
          <w:sz w:val="26"/>
          <w:szCs w:val="16"/>
        </w:rPr>
      </w:r>
      <w:r>
        <w:rPr>
          <w:rFonts w:ascii="Times New Roman" w:hAnsi="Times New Roman"/>
          <w:sz w:val="26"/>
          <w:szCs w:val="1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1.1. Настоящее Положение о порядке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 (далее - Положение), разработано в соответствии с Гражданским кодекс</w:t>
      </w:r>
      <w:r>
        <w:rPr>
          <w:rFonts w:ascii="Times New Roman" w:hAnsi="Times New Roman"/>
          <w:sz w:val="26"/>
          <w:szCs w:val="16"/>
        </w:rPr>
        <w:t xml:space="preserve">ом Российской Федерации, Жилищным кодексом Российской Федерации, Градостроительным кодексом Российской Федерации от 29.12.2004 г. № 190-ФЗ, Постановлением Правительства Российской Федерации от 28.01.2006 г. № 47 «Об утверждении Положения о признании помещен</w:t>
      </w:r>
      <w:r>
        <w:rPr>
          <w:rFonts w:ascii="Times New Roman" w:hAnsi="Times New Roman"/>
          <w:sz w:val="26"/>
          <w:szCs w:val="16"/>
        </w:rPr>
        <w:t xml:space="preserve">ия жилым помещением, жилого помещения непригодным для проживания и многоквартирного дома аварийным и подлежащим сносу или реконструкции», Уставом муниципального округа Серебряные Пруды Московской области и определяет процедуру сноса многоквартирных жилых до</w:t>
      </w:r>
      <w:r>
        <w:rPr>
          <w:rFonts w:ascii="Times New Roman" w:hAnsi="Times New Roman"/>
          <w:sz w:val="26"/>
          <w:szCs w:val="16"/>
        </w:rPr>
        <w:t xml:space="preserve">мов, зданий и сооружений, нежилых зданий и сооружений, признанных непригодными для проживания, аварийными и подлежащими сносу.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2. Решение о сносе жилых домов, зданий и сооружений, нежилых зданий и сооружений, расположенных на территории муниципального округа Серебряные Пруды Московской области, признанных аварийными, непригодными для проживания и подлежащими сносу, принимается путе</w:t>
      </w:r>
      <w:r>
        <w:rPr>
          <w:rFonts w:ascii="Times New Roman" w:hAnsi="Times New Roman"/>
          <w:sz w:val="26"/>
          <w:szCs w:val="16"/>
        </w:rPr>
        <w:t xml:space="preserve">м издания постановления Администрации округа.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3. В случае признания многоквартирного дома аварийным разрабатывается  постановление администрации муниципального округа о признании многоквартирного дома аварийным и подлежащим сносу с проведением мероприятий по отселению жителей, принимаемый администрацие</w:t>
      </w:r>
      <w:r>
        <w:rPr>
          <w:rFonts w:ascii="Times New Roman" w:hAnsi="Times New Roman"/>
          <w:sz w:val="26"/>
          <w:szCs w:val="16"/>
        </w:rPr>
        <w:t xml:space="preserve">й муниципального округа, в котором указываются сроки по отселению жителей, а также предусматриваются мероприятия по сносу многоквартирных домов, признанных аварийными и подлежащих сносу.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4. В соответствии с настоящим Положением сносу подлежат объекты:</w:t>
      </w:r>
      <w:r>
        <w:rPr>
          <w:sz w:val="26"/>
        </w:rPr>
      </w:r>
    </w:p>
    <w:p>
      <w:pPr>
        <w:pStyle w:val="639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- признанные в установленном порядке непригодными для проживания, непригодными для эксплуатации, аварийными, подлежащими сносу;</w:t>
      </w:r>
      <w:r>
        <w:rPr>
          <w:sz w:val="26"/>
        </w:rPr>
      </w:r>
    </w:p>
    <w:p>
      <w:pPr>
        <w:pStyle w:val="639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- признанные не соответствующими градостроительному регламенту;</w:t>
      </w:r>
      <w:r>
        <w:rPr>
          <w:sz w:val="26"/>
        </w:rPr>
      </w:r>
    </w:p>
    <w:p>
      <w:pPr>
        <w:pStyle w:val="639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- изъятые у граждан и юридических лиц для муниципальных нужд по основаниям, установленным Гражданским кодексом Российской Федерации, Жилищным кодексом Российской Федерации, а также по решению суда, вступившему в законную силу в установленном законом порядке</w:t>
      </w:r>
      <w:r>
        <w:rPr>
          <w:rFonts w:ascii="Times New Roman" w:hAnsi="Times New Roman"/>
          <w:sz w:val="26"/>
          <w:szCs w:val="16"/>
        </w:rPr>
        <w:t xml:space="preserve">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5. Признание в установленном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</w:t>
      </w:r>
      <w:r>
        <w:rPr>
          <w:rFonts w:ascii="Times New Roman" w:hAnsi="Times New Roman"/>
          <w:sz w:val="26"/>
          <w:szCs w:val="16"/>
        </w:rPr>
        <w:t xml:space="preserve">и от 28 января 2006 г. № 47, порядке признания многоквартирного дома аварийным и подлежащим сносу является основанием предъявления межведомственной комиссией к собственникам помещений в указанном доме требований о сносе в разумный срок.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6. В случае если собственники в установленный срок не осуществили снос указанного объекта,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</w:t>
      </w:r>
      <w:r>
        <w:rPr>
          <w:rFonts w:ascii="Times New Roman" w:hAnsi="Times New Roman"/>
          <w:sz w:val="26"/>
          <w:szCs w:val="16"/>
        </w:rPr>
        <w:t xml:space="preserve">ринадлежащих на праве собственности муниципальному округу Серебряные Пруды Московской области, в порядке, предусмотренном частями 1 - 3, 5 - 9 статьи 32 Жилищного кодекса Российской Федерации.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7. Запрещается вселение и регистрация граждан в жилые помещения, находящиеся в муниципальной собственности, а также совершение сделок с указанными помещениями, расположенными в жилых домах, признанных в установленном порядке аварийными и подлежащими сносу.</w:t>
      </w:r>
      <w:r>
        <w:rPr>
          <w:rFonts w:ascii="Times New Roman" w:hAnsi="Times New Roman"/>
          <w:sz w:val="26"/>
          <w:szCs w:val="16"/>
        </w:rPr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8. После прохождения всех установленных законодательством Российской Федерации процедур жилые дома, здания и сооружения, нежилые здания и сооружения, признанные непригодными для проживания, аварийными, подлежат сносу.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9. Снос жилых домов, зданий и сооружений, непригодных для проживания, признанных аварийными и подлежащими сносу, в том числе снос нежилых зданий и сооружений, может быть произведен на безвозмездной основе или посредством выставления на электронный аукцион в</w:t>
      </w:r>
      <w:r>
        <w:rPr>
          <w:rFonts w:ascii="Times New Roman" w:hAnsi="Times New Roman"/>
          <w:sz w:val="26"/>
          <w:szCs w:val="16"/>
        </w:rPr>
        <w:t xml:space="preserve"> соответствии с требованиями Федерального закона Российской Федерации от 05.04.2013 г. N 44-ФЗ "О контрактной системе в сфере закупок товаров, работ, услуг для обеспечения государственных и муниципальных нужд" за счет средств, предусмотренных в бюджете муни</w:t>
      </w:r>
      <w:r>
        <w:rPr>
          <w:rFonts w:ascii="Times New Roman" w:hAnsi="Times New Roman"/>
          <w:sz w:val="26"/>
          <w:szCs w:val="16"/>
        </w:rPr>
        <w:t xml:space="preserve">ципального округа Серебряные Пруды Московской области.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10. Администрация муниципального округа Серебряные Пруды Московской области осуществляет снос жилых домов, зданий и сооружений, нежилых зданий и сооружений, признанных аварийными, на безвозмездной основе или в соответствии с требованиями Федерального закона</w:t>
      </w:r>
      <w:r>
        <w:rPr>
          <w:rFonts w:ascii="Times New Roman" w:hAnsi="Times New Roman"/>
          <w:sz w:val="26"/>
          <w:szCs w:val="16"/>
        </w:rPr>
        <w:t xml:space="preserve"> Российской Федерации от 05.04.2013 г. N 44-ФЗ.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10.1. Администрация муниципального округа в случае принятия решения о сносе жилых домов, зданий и сооружений, нежилых зданий и сооружений, признанных аварийными в соответствии с требованиями Федерального закона Российской Федерации от 05.04.2013 г. № 44-ФЗ:</w:t>
      </w:r>
      <w:r>
        <w:rPr>
          <w:rFonts w:ascii="Times New Roman" w:hAnsi="Times New Roman"/>
          <w:sz w:val="26"/>
          <w:szCs w:val="16"/>
        </w:rPr>
      </w:r>
      <w:r>
        <w:rPr>
          <w:sz w:val="26"/>
        </w:rPr>
      </w:r>
    </w:p>
    <w:p>
      <w:pPr>
        <w:pStyle w:val="639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- после завершения мероприятий по расселению дома, признанного аварийным и подлежащим сносу, подготавливает необходимый пакет документов для согласования и дальнейшего определения поставщика (подрядчика, исполнителя) на выполнение работ по разработке проект</w:t>
      </w:r>
      <w:r>
        <w:rPr>
          <w:rFonts w:ascii="Times New Roman" w:hAnsi="Times New Roman"/>
          <w:sz w:val="26"/>
          <w:szCs w:val="16"/>
        </w:rPr>
        <w:t xml:space="preserve">но-сметной документации по сносу многоквартирного дома, признанного аварийным, в соответствии с требованиями Федерального закона от 5 апреля 2013 года № 44-ФЗ "О контрактной системе в сфере закупок товаров, работ, услуг для обеспечения государственных и мун</w:t>
      </w:r>
      <w:r>
        <w:rPr>
          <w:rFonts w:ascii="Times New Roman" w:hAnsi="Times New Roman"/>
          <w:sz w:val="26"/>
          <w:szCs w:val="16"/>
        </w:rPr>
        <w:t xml:space="preserve">иципальных нужд";</w:t>
      </w:r>
      <w:r>
        <w:rPr>
          <w:sz w:val="26"/>
        </w:rPr>
      </w:r>
    </w:p>
    <w:p>
      <w:pPr>
        <w:pStyle w:val="639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- после получения администрацией муниципального округа разработанной проектно-сметной документации по сносу многоквартирного дома и получения на нее положительного заключения государственной экспертизы подготавливает необходимый пакет документов для согласо</w:t>
      </w:r>
      <w:r>
        <w:rPr>
          <w:rFonts w:ascii="Times New Roman" w:hAnsi="Times New Roman"/>
          <w:sz w:val="26"/>
          <w:szCs w:val="16"/>
        </w:rPr>
        <w:t xml:space="preserve">вания и дальнейшего определения поставщика (подрядчика, исполнителя) на выполнение подрядных работ по сносу многоквартирного дома, признанного аварийным, в соответствии с требованиями Федерального закона от 5 апреля 2013 года № 44-ФЗ "О контрактной системе </w:t>
      </w:r>
      <w:r>
        <w:rPr>
          <w:rFonts w:ascii="Times New Roman" w:hAnsi="Times New Roman"/>
          <w:sz w:val="26"/>
          <w:szCs w:val="16"/>
        </w:rPr>
        <w:t xml:space="preserve">в сфере закупок товаров, работ, услуг для обеспечения государственных и муниципальных нужд".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10.2. Администрация муниципального округа в случае отсутствия в бюджете округа средств на осуществление закупки по сносу, может принять решение о сносе жилых домов, зданий и сооружений, нежилых зданий и сооружений, признанных аварийными, на безвозмездной ос</w:t>
      </w:r>
      <w:r>
        <w:rPr>
          <w:rFonts w:ascii="Times New Roman" w:hAnsi="Times New Roman"/>
          <w:sz w:val="26"/>
          <w:szCs w:val="16"/>
        </w:rPr>
        <w:t xml:space="preserve">нове. 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Условия выполнения услуги по сносу жилых домов, зданий и сооружений, непригодных для проживания, признанных аварийными, на безвозмездной основе устанавливаются в договоре безвозмездного оказания услуг по сносу аварийного дома по форме в Приложении № 2 к нас</w:t>
      </w:r>
      <w:r>
        <w:rPr>
          <w:rFonts w:ascii="Times New Roman" w:hAnsi="Times New Roman"/>
          <w:sz w:val="26"/>
          <w:szCs w:val="16"/>
        </w:rPr>
        <w:t xml:space="preserve">тоящему Порядку (далее - Договор).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11. В целях сноса многоквартирных жилых домов, зданий и сооружений, нежилых зданий и сооружений, непригодных для проживания, признанных аварийными, уполномоченный орган или лицо, с которым заключен договор о сносе объекта, обеспечивает подготовку проекта ор</w:t>
      </w:r>
      <w:r>
        <w:rPr>
          <w:rFonts w:ascii="Times New Roman" w:hAnsi="Times New Roman"/>
          <w:sz w:val="26"/>
          <w:szCs w:val="16"/>
        </w:rPr>
        <w:t xml:space="preserve">ганизации работ по сносу объекта капитального строительства в качестве самостоятельного документа, за исключением случаев, предусмотренных частями 3 и 8 статьи 55.30 Градостроительного кодекса РФ.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12. Для выявления юридических лиц или физических лиц, желающих произвести снос жилых домов, зданий и сооружений, непригодных для проживания, нежилых зданий и сооружений, признанных аварийными, Администрация округа в течение 7 рабочих дней со дня издания рас</w:t>
      </w:r>
      <w:r>
        <w:rPr>
          <w:rFonts w:ascii="Times New Roman" w:hAnsi="Times New Roman"/>
          <w:sz w:val="26"/>
          <w:szCs w:val="16"/>
        </w:rPr>
        <w:t xml:space="preserve">поряжения публикует в  сетевом издании "Городской округ Серебряные Пруды", в информационно-коммуникационной сети "Интернет" с предложением о заключении договора оказания услуг по сносу объектов с указанием срока сноса такого объекта.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13. Срок приема заявлений о заключении договора о сносе жилых домов, зданий и сооружений, непригодных для проживания, нежилых зданий и сооружений, признанных аварийными, устанавливается в течение 7 календарных дней со дня опубликования сообщения.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14. Заявление (Приложение № 1) подается в администрацию муниципального округа Серебряные Пруды Московской области в двух экземплярах, на заявлениях фиксируется время и дата приема заявления, и один экземпляр заявления с отметкой о регистрации возвращается з</w:t>
      </w:r>
      <w:r>
        <w:rPr>
          <w:rFonts w:ascii="Times New Roman" w:hAnsi="Times New Roman"/>
          <w:sz w:val="26"/>
          <w:szCs w:val="16"/>
        </w:rPr>
        <w:t xml:space="preserve">аявителю.</w:t>
      </w:r>
      <w:r>
        <w:rPr>
          <w:sz w:val="26"/>
        </w:rPr>
      </w:r>
    </w:p>
    <w:p>
      <w:pPr>
        <w:pStyle w:val="639"/>
        <w:ind w:firstLine="708"/>
        <w:jc w:val="both"/>
        <w:rPr>
          <w:sz w:val="26"/>
        </w:rPr>
      </w:pPr>
      <w:r>
        <w:rPr>
          <w:rFonts w:ascii="Times New Roman" w:hAnsi="Times New Roman"/>
          <w:sz w:val="26"/>
          <w:szCs w:val="16"/>
        </w:rPr>
        <w:t xml:space="preserve">15. После сноса жилых домов, зданий и сооружений, непригодных для проживания, признанных аварийными, являющихся муниципальной собственностью, производится исключение объектов из Единого государственного реестра недвижимости, из реестра муниципальной собстве</w:t>
      </w:r>
      <w:r>
        <w:rPr>
          <w:rFonts w:ascii="Times New Roman" w:hAnsi="Times New Roman"/>
          <w:sz w:val="26"/>
          <w:szCs w:val="16"/>
        </w:rPr>
        <w:t xml:space="preserve">нности.</w:t>
      </w:r>
      <w:r>
        <w:rPr>
          <w:rFonts w:ascii="Times New Roman" w:hAnsi="Times New Roman"/>
          <w:sz w:val="26"/>
          <w:szCs w:val="16"/>
        </w:rPr>
      </w:r>
      <w:r>
        <w:rPr>
          <w:sz w:val="26"/>
        </w:rPr>
      </w:r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42"/>
        <w:jc w:val="right"/>
        <w:tabs>
          <w:tab w:val="left" w:pos="6075" w:leader="none"/>
        </w:tabs>
        <w:rPr>
          <w:sz w:val="26"/>
        </w:rPr>
      </w:pPr>
      <w:r>
        <w:rPr>
          <w:sz w:val="26"/>
        </w:rPr>
      </w:r>
      <w:r/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Приложение №1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к Порядку сноса многоквартирных жилых домов,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зданий и сооружений, нежилых зданий и сооружений,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признанных непригодными для проживания,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аварийными и подлежащими сносу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Форма заявления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о заключении договора оказания услуги по сносу многоквартирных жилых домов, зданий и сооружений, нежилых зданий и сооружений на безвозмездной основе 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(для организаций: заявление подается на бланке организации с заполнением соответствующих реквизитов)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В администрацию муниципального округа 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Серебряные Пруды Московской области                                                                   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____________________________________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  (для граждан: Ф.И.О. полностью,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     для организаций: название)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____________________________________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  адрес проживания, место нахождения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____________________________________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Телефон __________________________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center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center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ЗАЯВЛЕНИЕ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Прошу заключить  договор  оказания  услуг  по  сносу  многоквартирного (ых) жилого (ых) дома (ов), зданий и сооружений, нежилых зданий и сооружений (нужное подчеркнуть) на безвозмездной основе, расположенных по адресу: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1. _________________________________________________________________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2. _________________________________________________________________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Указанный объект осмотрен.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Ознакомлен(а) с Порядком  сноса многоквартирных жилых домов, зданий и сооружений, нежилых зданий и сооружений, признанных непригодными для проживания, аварийными и подлежащими сносу, утвержденным постановлением администрации муниципального округа Сереб</w:t>
      </w:r>
      <w:r>
        <w:rPr>
          <w:rFonts w:ascii="Times New Roman" w:hAnsi="Times New Roman" w:cs="Times New Roman" w:eastAsia="Times New Roman"/>
          <w:sz w:val="26"/>
        </w:rPr>
        <w:t xml:space="preserve">ряные Пруды Московской области от __.__.20__ № _______.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_________________     _____________________________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18"/>
        </w:rPr>
      </w:pPr>
      <w:r>
        <w:rPr>
          <w:rFonts w:ascii="Times New Roman" w:hAnsi="Times New Roman" w:cs="Times New Roman" w:eastAsia="Times New Roman"/>
          <w:sz w:val="26"/>
        </w:rPr>
        <w:t xml:space="preserve">        </w:t>
      </w:r>
      <w:r>
        <w:rPr>
          <w:rFonts w:ascii="Times New Roman" w:hAnsi="Times New Roman" w:cs="Times New Roman" w:eastAsia="Times New Roman"/>
          <w:sz w:val="18"/>
        </w:rPr>
        <w:t xml:space="preserve"> (подпись)                                         Ф.И.О.</w:t>
      </w:r>
      <w:r>
        <w:rPr>
          <w:rFonts w:ascii="Times New Roman" w:hAnsi="Times New Roman" w:cs="Times New Roman" w:eastAsia="Times New Roman"/>
          <w:sz w:val="18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"__" ____________ 20__ г.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Заявление принято __ час. __ мин. "__" ____________ 20__ г.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Специалист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</w:rPr>
        <w:t xml:space="preserve">     Уполномоченного органа  ____________________  _______  __________________</w:t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18"/>
          <w:highlight w:val="none"/>
        </w:rPr>
      </w:pPr>
      <w:r>
        <w:rPr>
          <w:rFonts w:ascii="Times New Roman" w:hAnsi="Times New Roman" w:cs="Times New Roman" w:eastAsia="Times New Roman"/>
          <w:sz w:val="26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sz w:val="18"/>
        </w:rPr>
        <w:t xml:space="preserve">     название должности                      подпись                  Ф.И.О.</w:t>
      </w:r>
      <w:r>
        <w:rPr>
          <w:rFonts w:ascii="Times New Roman" w:hAnsi="Times New Roman" w:cs="Times New Roman" w:eastAsia="Times New Roman"/>
          <w:sz w:val="18"/>
        </w:rPr>
      </w:r>
      <w:r>
        <w:rPr>
          <w:rFonts w:ascii="Times New Roman" w:hAnsi="Times New Roman" w:cs="Times New Roman" w:eastAsia="Times New Roman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18"/>
          <w:highlight w:val="none"/>
        </w:rPr>
      </w:r>
      <w:r>
        <w:rPr>
          <w:rFonts w:ascii="Times New Roman" w:hAnsi="Times New Roman" w:cs="Times New Roman" w:eastAsia="Times New Roman"/>
          <w:sz w:val="18"/>
          <w:highlight w:val="none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Приложение №2</w:t>
      </w:r>
      <w:r/>
    </w:p>
    <w:p>
      <w:pPr>
        <w:pStyle w:val="639"/>
        <w:ind w:firstLine="0"/>
        <w:jc w:val="right"/>
      </w:pPr>
      <w:r>
        <w:rPr>
          <w:rFonts w:ascii="Times New Roman" w:hAnsi="Times New Roman" w:cs="Times New Roman" w:eastAsia="Times New Roman"/>
          <w:sz w:val="26"/>
        </w:rPr>
        <w:t xml:space="preserve">к Порядку сноса многоквартирных жилых домов,</w:t>
      </w:r>
      <w:r/>
    </w:p>
    <w:p>
      <w:pPr>
        <w:pStyle w:val="639"/>
        <w:ind w:firstLine="0"/>
        <w:jc w:val="right"/>
      </w:pPr>
      <w:r>
        <w:rPr>
          <w:rFonts w:ascii="Times New Roman" w:hAnsi="Times New Roman" w:cs="Times New Roman" w:eastAsia="Times New Roman"/>
          <w:sz w:val="26"/>
        </w:rPr>
        <w:t xml:space="preserve">зданий и сооружений, нежилых зданий и сооружений,</w:t>
      </w:r>
      <w:r/>
    </w:p>
    <w:p>
      <w:pPr>
        <w:pStyle w:val="639"/>
        <w:ind w:firstLine="0"/>
        <w:jc w:val="right"/>
      </w:pPr>
      <w:r>
        <w:rPr>
          <w:rFonts w:ascii="Times New Roman" w:hAnsi="Times New Roman" w:cs="Times New Roman" w:eastAsia="Times New Roman"/>
          <w:sz w:val="26"/>
        </w:rPr>
        <w:t xml:space="preserve">признанных непригодными для проживания,</w:t>
      </w:r>
      <w:r/>
    </w:p>
    <w:p>
      <w:pPr>
        <w:pStyle w:val="639"/>
        <w:ind w:firstLine="0"/>
        <w:jc w:val="right"/>
      </w:pPr>
      <w:r>
        <w:rPr>
          <w:rFonts w:ascii="Times New Roman" w:hAnsi="Times New Roman" w:cs="Times New Roman" w:eastAsia="Times New Roman"/>
          <w:sz w:val="26"/>
        </w:rPr>
        <w:t xml:space="preserve">аварийными и подлежащими сносу</w:t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center"/>
      </w:pPr>
      <w:r>
        <w:rPr>
          <w:rFonts w:ascii="Times New Roman" w:hAnsi="Times New Roman" w:cs="Times New Roman" w:eastAsia="Times New Roman"/>
          <w:sz w:val="26"/>
        </w:rPr>
        <w:t xml:space="preserve">Договор безвозмездного оказания услуг</w:t>
      </w:r>
      <w:r/>
    </w:p>
    <w:p>
      <w:pPr>
        <w:pStyle w:val="639"/>
        <w:ind w:firstLine="0"/>
        <w:jc w:val="center"/>
      </w:pPr>
      <w:r>
        <w:rPr>
          <w:rFonts w:ascii="Times New Roman" w:hAnsi="Times New Roman" w:cs="Times New Roman" w:eastAsia="Times New Roman"/>
          <w:sz w:val="26"/>
        </w:rPr>
        <w:t xml:space="preserve">по сносу многоквартирных жилых домов, зданий и сооружений, нежилых зданий и сооружений, признанных непригодными для проживания,</w:t>
      </w:r>
      <w:r/>
    </w:p>
    <w:p>
      <w:pPr>
        <w:pStyle w:val="639"/>
        <w:ind w:firstLine="0"/>
        <w:jc w:val="center"/>
      </w:pPr>
      <w:r>
        <w:rPr>
          <w:rFonts w:ascii="Times New Roman" w:hAnsi="Times New Roman" w:cs="Times New Roman" w:eastAsia="Times New Roman"/>
          <w:sz w:val="26"/>
        </w:rPr>
        <w:t xml:space="preserve">аварийными и подлежащими сносу</w:t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Московская область,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пгт. Серебряные Пруды </w:t>
        <w:tab/>
        <w:t xml:space="preserve">                                                                      «____» ______ 202_ года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708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Администрация муниципального округа Серебряные Пруды Московской области в лице главы муниципального округа ______________________________, действующего на основании Устава, именуемая в дальнейшем «Заказчик», с одной стороны, и ______________________________</w:t>
      </w:r>
      <w:r>
        <w:rPr>
          <w:rFonts w:ascii="Times New Roman" w:hAnsi="Times New Roman" w:cs="Times New Roman" w:eastAsia="Times New Roman"/>
          <w:sz w:val="26"/>
        </w:rPr>
        <w:t xml:space="preserve">_____________________________________, в лице __________________________________________________________, действующего на основании _____________________________, именуемое в дальнейшем «Исполнитель», с другой стороны, совместно именуемые  «Стороны», а по отдельности «Сторона», заключили настоящий договор (далее – Дого</w:t>
      </w:r>
      <w:r>
        <w:rPr>
          <w:rFonts w:ascii="Times New Roman" w:hAnsi="Times New Roman" w:cs="Times New Roman" w:eastAsia="Times New Roman"/>
          <w:sz w:val="26"/>
        </w:rPr>
        <w:t xml:space="preserve">вор) о нижеследующем:</w:t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1. Предмет Договора</w:t>
      </w:r>
      <w:r/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1.1. По настоящему Договору Исполнитель обязуется по заданию Заказчика безвозмездно оказать услуги по сносу (демонтажу) объекта _______________________, с кадастровым номером___________(указывается в случае наличия), общей площадью _______ кв.м., расположен</w:t>
      </w:r>
      <w:r>
        <w:rPr>
          <w:rFonts w:ascii="Times New Roman" w:hAnsi="Times New Roman" w:cs="Times New Roman" w:eastAsia="Times New Roman"/>
          <w:sz w:val="26"/>
        </w:rPr>
        <w:t xml:space="preserve">ный по адресу: Московская область, муниципальный округ Серебряные Пруды, _____________, земельный участок с кадастровым номером ___________(указывается в случае наличия). Услуги по сносу (демонтажу) объекта оказываются до фундаментного основания, нулевой от</w:t>
      </w:r>
      <w:r>
        <w:rPr>
          <w:rFonts w:ascii="Times New Roman" w:hAnsi="Times New Roman" w:cs="Times New Roman" w:eastAsia="Times New Roman"/>
          <w:sz w:val="26"/>
        </w:rPr>
        <w:t xml:space="preserve">метки (0,000), с образованием вторичных ресурсов 0-400 мм.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1.2. Срок оказания Услуг составляет ___ (число дней прописью) календарных дней с даты заключения настоящего Договора.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1.3. Вывоз и утилизация отходов, образовавшихся в результате сноса Объекта, осуществляется в соответствии с требованиями действующего законодательства в сфере обращения со строительными отходами.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 Обязанности сторон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2.1. Заказчик обязан: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2.1.1. Предоставить Исполнителю Объект, указанный в п. 1.1 настоящего Договора, на основании подписанного обеими Сторонами Акта о передаче объекта и строительной площадки.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2.1.2. Определить границы Объекта, подлежащего сносу.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2.1.3. Предоставить Исполнителю все документы и информацию, необходимые для оказания Услуг по Договору.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2.1.4. В срок, указанный в п. 4.2 настоящего Договора, осуществить приемку оказанных Исполнителем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2.1.5. Произвести отключение сносимого Объекта от инженерных коммуникаций, в том числе воздушных, попадающих в границы строительной площадки, до передачи Исполнителю Объекта и строительной площадки. 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2.1.6. Принять от Исполнителя результат оказанных Услуг на основании Акта об оказании услуг  по  форме  согласно  Приложению 1  к настоящему Договору.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 Исполнитель обязан: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2.2.1.  Оказать Заказчику Услуги, указанные в п. 1.1 настоящего Договора в соответствии с Проектом организации работ по сносу объекта капитального строительства ____________________________________________, расположенный по адресу: ________________________________________________________________________. 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2.2.2. Направить Заказчику уведомление о планируемом сносе объекта капитального строительства до начала оказания Услуг и уведомление о завершении сноса объекта капитального строительства по окончании оказания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2.2.3. При оказании Услуг провести мероприятия по ограничению пылеобразования.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2.2.4. Принять от Заказчика Объект по Акту передачи Объекта в течение 10 (Десяти) календарных дней с даты заключения Договора и приступить к оказанию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2.2.5. Согласовывать с Заказчиком кандидатуры соисполнителей для оказания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2.2.6. Обеспечить охрану Объекта своими силами и за свой счет с даты подписания Сторонами Акта передачи Объекта Заказчиком до даты передачи строительной площадки Заказчику или иному лицу по указанию Заказчика.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2.2.7. Нести ответственность перед Заказчиком за ненадлежащее оказание Услуг третьими лицами, привлеченными Исполнителем в целях оказания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2.2.8. Обеспечить выполнение необходимых мероприятий по технике безопасности, охране окружающей среды, зеленых насаждений, земли во время оказания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2.2.9. Оказать Услуги в соответствии с нормами, положениями, предусмотренными действующим законодательством Российской Федерации.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2.2.10. Незамедлительно предупредить Заказчика и до получения его указаний приостановить оказание Услуг при обнаружении: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- возможных неблагоприятных для Заказчика последствий выполнения его указаний о способе оказания Услуг;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- отрицательного результата или нецелесообразности дальнейшего оказания Услуг;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- иных, не зависящих от Исполнителя обстоятельств, которые грозят качеству оказываемых Услуг, либо создают невозможность их завершения в срок.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2.2.11. По окончании оказания Услуг в течение 2 (Двух) рабочих дней, но не позднее срока оказания Услуг, установленного п. 1.2 настоящего Договора, проинформировать Заказчика об оказанных Услугах.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2.2.12. Своевременно устранять недостатки и дефекты, выявленные при приемке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2.2.13. Допускать представителя Заказчика на Объект в целях контроля за ходом оказания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2.2.14. Устранить недостатки в сроки, указанные в п. 4.3 настоящего Договора.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2.2.15. По  окончании  оказания  Услуг  передать  Заказчику  в течение 3 (Трех) рабочих дней Акт об оказании услуг по форме согласно Приложению 1 к настоящему Договору. 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 Права сторон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3.1. Заказчик имеет право: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3.1.1. Требовать надлежащее качество оказываемых Исполнителем Услуг по настоящему Договору, своевременное уведомление об оказываемых Услугах и результатах оказанных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3.1.2.  Направить своего представителя на Объект для осуществления контроля за процессом оказания Услуг.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3.1.3. В случае  не устранения  недостатков  Услуг  в  срок,  указанный  в п. 5.3 настоящего Договора, привлечь другого Исполнителя для устранения недостатков.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3.2. Исполнитель имеет право: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3.2.1. По соглашению с Заказчиком оказать Услуги досрочно.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3.2.2.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3.2.3. Привлекать к оказанию Услуг третьих лиц при предварительном согласовании с Заказчиком.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4. Порядок сдачи и приемки оказанных услуг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4.1. По окончании оказания Услуг Исполнитель представляет Заказчику на подписание Акт об оказании услуг в двух экземплярах по форме, установленной Приложением 1 к настоящему Договору.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4.2. В течение 3 (Трех) рабочих дней после получения Акта об оказании услуг Заказчик обязан подписать его и направить один экземпляр Исполнителю  либо, при обнаружении недостатков, представить мотивированный отказ от его подписания в виде претензии в письме</w:t>
      </w:r>
      <w:r>
        <w:rPr>
          <w:rFonts w:ascii="Times New Roman" w:hAnsi="Times New Roman" w:cs="Times New Roman" w:eastAsia="Times New Roman"/>
          <w:sz w:val="26"/>
        </w:rPr>
        <w:t xml:space="preserve">нном виде.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4.3. В случае обнаружения недостатков, указанных в претензии, Исполнитель обязуется устранить их в течение 10 (Десяти) календарных дней со дня получения соответствующей письменной претензии Заказчика.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4.4. Датой приемки оказанных Услуг считается дата подписания Сторонами Акта об оказании услуг по форме согласно Приложению 1  к настоящему Договору.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5. Ответственность сторон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5.1. В случае нарушения Исполнителем п. 2.2.2 настоящего Договора, по истечении 10 (Десяти) календарных дней с даты заключения  настоящего Договора, а также в случае, если в течение 15 (Пятнадцати) календарных дней Исполнитель не приступил к оказанию Услуг,</w:t>
      </w:r>
      <w:r>
        <w:rPr>
          <w:rFonts w:ascii="Times New Roman" w:hAnsi="Times New Roman" w:cs="Times New Roman" w:eastAsia="Times New Roman"/>
          <w:sz w:val="26"/>
        </w:rPr>
        <w:t xml:space="preserve"> Заказчик вправе расторгнуть настоящий Договор в одностороннем порядке путем направления уведомления по адресу электронной почты и почтовым отправлением в адрес Исполнителя, указанные в реквизитах Сторон. 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5.2. Во всех остальных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6. Форс-мажор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6.1. Стороны освобождаются от ответственности за неисполнение или ненадлежащее исполнение обязательств по настоящему Договору при возникновении обстоятельств непреодолимой силы, то есть чрезвычайных и непредотвратимых при данных условиях обстоятельств (обст</w:t>
      </w:r>
      <w:r>
        <w:rPr>
          <w:rFonts w:ascii="Times New Roman" w:hAnsi="Times New Roman" w:cs="Times New Roman" w:eastAsia="Times New Roman"/>
          <w:sz w:val="26"/>
        </w:rPr>
        <w:t xml:space="preserve">оятельства форс-мажора).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6.2. В случае наступления этих обстоятельств, Сторона обязана в течение двух дней уведомить об этом другую Сторону.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6.3. В случае наступления обстоятельств форс-мажора срок оказания Услуг изменяется соразмерно времени действия этих обстоятельств.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7. Срок действия, изменение и досрочное расторжение Договора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7.1. Настоящий Договор вступает в силу с момента его подписания обеими Сторонами и действует до момента исполнения Сторонами всех принятых на себя обязательств.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7.2. Все изменения и дополнения к настоящему Договору действительны, если совершены в письменной форме и подписаны обеими Сторонами. Дополнительные соглашения Сторон являются неотъемлемой частью настоящего Договора.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7.3. Настоящий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8. Разрешение споров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8.1.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8.2. Споры, не урегулированные путем переговоров, передаются на рассмотрение Арбитражного суда Московской области в порядке, предусмотренном действующим законодательством Российской Федерации.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9. Заключительные положения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9.1.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9.2. 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9.3. Настоящий Договор составлен в двух экземплярах, имеющих равную юридическую силу, по одному для каждой из Сторон.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9.4. Стороны обязуются письменно извещать друг друга о смене реквизитов, адресов и иных существенных изменениях. 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9.5. Приложение №1 (Форма Акта об оказании услуг) является неотъемлемой частью настоящего Договора.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  <w:highlight w:val="none"/>
        </w:rPr>
      </w:pPr>
      <w:r>
        <w:rPr>
          <w:rFonts w:ascii="Times New Roman" w:hAnsi="Times New Roman" w:cs="Times New Roman" w:eastAsia="Times New Roman"/>
          <w:sz w:val="26"/>
        </w:rPr>
        <w:t xml:space="preserve">10. Реквизиты и подписи сторон:</w:t>
      </w:r>
      <w:r/>
    </w:p>
    <w:tbl>
      <w:tblPr>
        <w:tblStyle w:val="638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39"/>
              <w:ind w:firstLine="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Заказчик: 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Администрация муниципального округа Серебряные Пруды Московской области</w:t>
            </w:r>
            <w:r/>
            <w:r/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Исполнитель: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sz w:val="26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</w:p>
        </w:tc>
      </w:tr>
    </w:tbl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Приложение № 1 </w:t>
      </w:r>
      <w:r/>
    </w:p>
    <w:p>
      <w:pPr>
        <w:pStyle w:val="639"/>
        <w:ind w:firstLine="0"/>
        <w:jc w:val="right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 Договору № ___________________</w:t>
      </w:r>
      <w:r/>
    </w:p>
    <w:p>
      <w:pPr>
        <w:pStyle w:val="639"/>
        <w:ind w:firstLine="0"/>
        <w:jc w:val="right"/>
      </w:pPr>
      <w:r>
        <w:rPr>
          <w:rFonts w:ascii="Times New Roman" w:hAnsi="Times New Roman" w:cs="Times New Roman" w:eastAsia="Times New Roman"/>
          <w:sz w:val="26"/>
        </w:rPr>
        <w:t xml:space="preserve">от «____» ________________ 202_ г.</w:t>
      </w:r>
      <w:r/>
    </w:p>
    <w:p>
      <w:pPr>
        <w:pStyle w:val="639"/>
        <w:ind w:firstLine="0"/>
        <w:jc w:val="right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center"/>
      </w:pPr>
      <w:r>
        <w:rPr>
          <w:rFonts w:ascii="Times New Roman" w:hAnsi="Times New Roman" w:cs="Times New Roman" w:eastAsia="Times New Roman"/>
          <w:sz w:val="26"/>
        </w:rPr>
        <w:t xml:space="preserve">Форма Акта</w:t>
      </w:r>
      <w:r/>
    </w:p>
    <w:p>
      <w:pPr>
        <w:pStyle w:val="639"/>
        <w:ind w:firstLine="0"/>
        <w:jc w:val="center"/>
      </w:pPr>
      <w:r>
        <w:rPr>
          <w:rFonts w:ascii="Times New Roman" w:hAnsi="Times New Roman" w:cs="Times New Roman" w:eastAsia="Times New Roman"/>
          <w:sz w:val="26"/>
        </w:rPr>
        <w:t xml:space="preserve">Об оказании услуг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Московская область,</w:t>
        <w:tab/>
        <w:t xml:space="preserve">                                                                     «___» _______ 202_ 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пгт. Серебряные Пруды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708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Администрация муниципального округа Серебряные Пруды Московской области в лице главы муниципального округа ______________________________, действующего на основании Устава, именуемая в дальнейшем «Заказчик», с одной стороны, и ______________________________</w:t>
      </w:r>
      <w:r>
        <w:rPr>
          <w:rFonts w:ascii="Times New Roman" w:hAnsi="Times New Roman" w:cs="Times New Roman" w:eastAsia="Times New Roman"/>
          <w:sz w:val="26"/>
        </w:rPr>
        <w:t xml:space="preserve">_______, в лице ________________________________, действующего на основании ______________________, именуемое в дальнейшем «Исполнитель», с другой стороны, совместно именуемые  «Стороны», а по отдельности «Сторона» составили настоящий Акт о нижеследующем: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1.</w:t>
        <w:tab/>
        <w:t xml:space="preserve">Исполнитель в соответствии с Договором № ____ от «____» _______ 202_ г. (далее – Договор), оказал Услуги в полном объеме согласно п.1.1 Договора, на земельном участке с кадастровым номером ______________.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2.</w:t>
        <w:tab/>
        <w:t xml:space="preserve">Услуги, предусмотренные п. 1.1 Договора должны были быть оказаны до «____» _______ 202_ г. Фактически Услуги оказаны «____» _______ 202_ г.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3.</w:t>
        <w:tab/>
        <w:t xml:space="preserve">По результатам приемки оказанных Услуг недостатки не выявлены.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4. </w:t>
        <w:tab/>
        <w:t xml:space="preserve"> Настоящий Акт составлен в 2 (Двух) экземплярах, имеющих равную юридическую силу, по одному для каждой Стороны.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  <w:t xml:space="preserve">5.</w:t>
        <w:tab/>
        <w:t xml:space="preserve">Настоящий акт является неотъемлемой частью Договора. </w:t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tbl>
      <w:tblPr>
        <w:tblStyle w:val="638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39"/>
              <w:ind w:firstLine="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Заказчик: 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Исполнитель: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  <w:r/>
          </w:p>
          <w:p>
            <w:pPr>
              <w:pStyle w:val="639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  <w:t xml:space="preserve">____________________</w:t>
            </w:r>
            <w:r>
              <w:rPr>
                <w:rFonts w:ascii="Times New Roman" w:hAnsi="Times New Roman" w:cs="Times New Roman" w:eastAsia="Times New Roman"/>
                <w:sz w:val="26"/>
                <w:highlight w:val="none"/>
              </w:rPr>
            </w:r>
            <w:r/>
          </w:p>
        </w:tc>
      </w:tr>
    </w:tbl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639"/>
        <w:ind w:firstLine="0"/>
        <w:jc w:val="both"/>
      </w:pPr>
      <w:r>
        <w:rPr>
          <w:rFonts w:ascii="Times New Roman" w:hAnsi="Times New Roman" w:cs="Times New Roman" w:eastAsia="Times New Roman"/>
          <w:sz w:val="26"/>
        </w:rPr>
      </w:r>
      <w:r/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</w:p>
    <w:sectPr>
      <w:footnotePr/>
      <w:endnotePr/>
      <w:type w:val="nextPage"/>
      <w:pgSz w:w="11906" w:h="16838" w:orient="portrait"/>
      <w:pgMar w:top="962" w:right="850" w:bottom="99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9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9">
    <w:name w:val="Heading 1"/>
    <w:basedOn w:val="633"/>
    <w:next w:val="633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0">
    <w:name w:val="Heading 1 Char"/>
    <w:basedOn w:val="634"/>
    <w:link w:val="459"/>
    <w:uiPriority w:val="9"/>
    <w:rPr>
      <w:rFonts w:ascii="Arial" w:hAnsi="Arial" w:cs="Arial" w:eastAsia="Arial"/>
      <w:sz w:val="40"/>
      <w:szCs w:val="40"/>
    </w:rPr>
  </w:style>
  <w:style w:type="paragraph" w:styleId="461">
    <w:name w:val="Heading 2"/>
    <w:basedOn w:val="633"/>
    <w:next w:val="633"/>
    <w:link w:val="4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2">
    <w:name w:val="Heading 2 Char"/>
    <w:basedOn w:val="634"/>
    <w:link w:val="461"/>
    <w:uiPriority w:val="9"/>
    <w:rPr>
      <w:rFonts w:ascii="Arial" w:hAnsi="Arial" w:cs="Arial" w:eastAsia="Arial"/>
      <w:sz w:val="34"/>
    </w:rPr>
  </w:style>
  <w:style w:type="paragraph" w:styleId="463">
    <w:name w:val="Heading 3"/>
    <w:basedOn w:val="633"/>
    <w:next w:val="633"/>
    <w:link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4">
    <w:name w:val="Heading 3 Char"/>
    <w:basedOn w:val="634"/>
    <w:link w:val="463"/>
    <w:uiPriority w:val="9"/>
    <w:rPr>
      <w:rFonts w:ascii="Arial" w:hAnsi="Arial" w:cs="Arial" w:eastAsia="Arial"/>
      <w:sz w:val="30"/>
      <w:szCs w:val="30"/>
    </w:rPr>
  </w:style>
  <w:style w:type="paragraph" w:styleId="465">
    <w:name w:val="Heading 4"/>
    <w:basedOn w:val="633"/>
    <w:next w:val="633"/>
    <w:link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6">
    <w:name w:val="Heading 4 Char"/>
    <w:basedOn w:val="634"/>
    <w:link w:val="465"/>
    <w:uiPriority w:val="9"/>
    <w:rPr>
      <w:rFonts w:ascii="Arial" w:hAnsi="Arial" w:cs="Arial" w:eastAsia="Arial"/>
      <w:b/>
      <w:bCs/>
      <w:sz w:val="26"/>
      <w:szCs w:val="26"/>
    </w:rPr>
  </w:style>
  <w:style w:type="paragraph" w:styleId="467">
    <w:name w:val="Heading 5"/>
    <w:basedOn w:val="633"/>
    <w:next w:val="633"/>
    <w:link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8">
    <w:name w:val="Heading 5 Char"/>
    <w:basedOn w:val="634"/>
    <w:link w:val="467"/>
    <w:uiPriority w:val="9"/>
    <w:rPr>
      <w:rFonts w:ascii="Arial" w:hAnsi="Arial" w:cs="Arial" w:eastAsia="Arial"/>
      <w:b/>
      <w:bCs/>
      <w:sz w:val="24"/>
      <w:szCs w:val="24"/>
    </w:rPr>
  </w:style>
  <w:style w:type="paragraph" w:styleId="469">
    <w:name w:val="Heading 6"/>
    <w:basedOn w:val="633"/>
    <w:next w:val="633"/>
    <w:link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0">
    <w:name w:val="Heading 6 Char"/>
    <w:basedOn w:val="634"/>
    <w:link w:val="469"/>
    <w:uiPriority w:val="9"/>
    <w:rPr>
      <w:rFonts w:ascii="Arial" w:hAnsi="Arial" w:cs="Arial" w:eastAsia="Arial"/>
      <w:b/>
      <w:bCs/>
      <w:sz w:val="22"/>
      <w:szCs w:val="22"/>
    </w:rPr>
  </w:style>
  <w:style w:type="paragraph" w:styleId="471">
    <w:name w:val="Heading 7"/>
    <w:basedOn w:val="633"/>
    <w:next w:val="633"/>
    <w:link w:val="4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2">
    <w:name w:val="Heading 7 Char"/>
    <w:basedOn w:val="634"/>
    <w:link w:val="4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3">
    <w:name w:val="Heading 8"/>
    <w:basedOn w:val="633"/>
    <w:next w:val="633"/>
    <w:link w:val="4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4">
    <w:name w:val="Heading 8 Char"/>
    <w:basedOn w:val="634"/>
    <w:link w:val="473"/>
    <w:uiPriority w:val="9"/>
    <w:rPr>
      <w:rFonts w:ascii="Arial" w:hAnsi="Arial" w:cs="Arial" w:eastAsia="Arial"/>
      <w:i/>
      <w:iCs/>
      <w:sz w:val="22"/>
      <w:szCs w:val="22"/>
    </w:rPr>
  </w:style>
  <w:style w:type="paragraph" w:styleId="475">
    <w:name w:val="Heading 9"/>
    <w:basedOn w:val="633"/>
    <w:next w:val="633"/>
    <w:link w:val="4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Heading 9 Char"/>
    <w:basedOn w:val="634"/>
    <w:link w:val="475"/>
    <w:uiPriority w:val="9"/>
    <w:rPr>
      <w:rFonts w:ascii="Arial" w:hAnsi="Arial" w:cs="Arial" w:eastAsia="Arial"/>
      <w:i/>
      <w:iCs/>
      <w:sz w:val="21"/>
      <w:szCs w:val="21"/>
    </w:rPr>
  </w:style>
  <w:style w:type="paragraph" w:styleId="477">
    <w:name w:val="Title"/>
    <w:basedOn w:val="633"/>
    <w:next w:val="633"/>
    <w:link w:val="4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8">
    <w:name w:val="Title Char"/>
    <w:basedOn w:val="634"/>
    <w:link w:val="477"/>
    <w:uiPriority w:val="10"/>
    <w:rPr>
      <w:sz w:val="48"/>
      <w:szCs w:val="48"/>
    </w:rPr>
  </w:style>
  <w:style w:type="paragraph" w:styleId="479">
    <w:name w:val="Subtitle"/>
    <w:basedOn w:val="633"/>
    <w:next w:val="633"/>
    <w:link w:val="480"/>
    <w:qFormat/>
    <w:uiPriority w:val="11"/>
    <w:rPr>
      <w:sz w:val="24"/>
      <w:szCs w:val="24"/>
    </w:rPr>
    <w:pPr>
      <w:spacing w:after="200" w:before="200"/>
    </w:pPr>
  </w:style>
  <w:style w:type="character" w:styleId="480">
    <w:name w:val="Subtitle Char"/>
    <w:basedOn w:val="634"/>
    <w:link w:val="479"/>
    <w:uiPriority w:val="11"/>
    <w:rPr>
      <w:sz w:val="24"/>
      <w:szCs w:val="24"/>
    </w:rPr>
  </w:style>
  <w:style w:type="paragraph" w:styleId="481">
    <w:name w:val="Quote"/>
    <w:basedOn w:val="633"/>
    <w:next w:val="633"/>
    <w:link w:val="482"/>
    <w:qFormat/>
    <w:uiPriority w:val="29"/>
    <w:rPr>
      <w:i/>
    </w:rPr>
    <w:pPr>
      <w:ind w:left="720" w:right="720"/>
    </w:pPr>
  </w:style>
  <w:style w:type="character" w:styleId="482">
    <w:name w:val="Quote Char"/>
    <w:link w:val="481"/>
    <w:uiPriority w:val="29"/>
    <w:rPr>
      <w:i/>
    </w:rPr>
  </w:style>
  <w:style w:type="paragraph" w:styleId="483">
    <w:name w:val="Intense Quote"/>
    <w:basedOn w:val="633"/>
    <w:next w:val="633"/>
    <w:link w:val="48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4">
    <w:name w:val="Intense Quote Char"/>
    <w:link w:val="483"/>
    <w:uiPriority w:val="30"/>
    <w:rPr>
      <w:i/>
    </w:rPr>
  </w:style>
  <w:style w:type="paragraph" w:styleId="485">
    <w:name w:val="Header"/>
    <w:basedOn w:val="633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Header Char"/>
    <w:basedOn w:val="634"/>
    <w:link w:val="485"/>
    <w:uiPriority w:val="99"/>
  </w:style>
  <w:style w:type="paragraph" w:styleId="487">
    <w:name w:val="Footer"/>
    <w:basedOn w:val="633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8">
    <w:name w:val="Footer Char"/>
    <w:basedOn w:val="634"/>
    <w:link w:val="487"/>
    <w:uiPriority w:val="99"/>
  </w:style>
  <w:style w:type="paragraph" w:styleId="489">
    <w:name w:val="Caption"/>
    <w:basedOn w:val="633"/>
    <w:next w:val="63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0">
    <w:name w:val="Caption Char"/>
    <w:basedOn w:val="489"/>
    <w:link w:val="487"/>
    <w:uiPriority w:val="99"/>
  </w:style>
  <w:style w:type="table" w:styleId="491">
    <w:name w:val="Table Grid Light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2">
    <w:name w:val="Plain Table 1"/>
    <w:basedOn w:val="6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3">
    <w:name w:val="Plain Table 2"/>
    <w:basedOn w:val="6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4">
    <w:name w:val="Plain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5">
    <w:name w:val="Plain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Plain Table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7">
    <w:name w:val="Grid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9">
    <w:name w:val="Grid Table 4 - Accent 1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0">
    <w:name w:val="Grid Table 4 - Accent 2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1">
    <w:name w:val="Grid Table 4 - Accent 3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2">
    <w:name w:val="Grid Table 4 - Accent 4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3">
    <w:name w:val="Grid Table 4 - Accent 5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4">
    <w:name w:val="Grid Table 4 - Accent 6"/>
    <w:basedOn w:val="6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5">
    <w:name w:val="Grid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6">
    <w:name w:val="Grid Table 5 Dark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9">
    <w:name w:val="Grid Table 5 Dark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2">
    <w:name w:val="Grid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3">
    <w:name w:val="Grid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4">
    <w:name w:val="Grid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5">
    <w:name w:val="Grid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6">
    <w:name w:val="Grid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7">
    <w:name w:val="Grid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8">
    <w:name w:val="Grid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9">
    <w:name w:val="Grid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4">
    <w:name w:val="List Table 2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5">
    <w:name w:val="List Table 2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6">
    <w:name w:val="List Table 2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7">
    <w:name w:val="List Table 2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8">
    <w:name w:val="List Table 2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9">
    <w:name w:val="List Table 2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0">
    <w:name w:val="List Table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5 Dark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6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2">
    <w:name w:val="List Table 6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3">
    <w:name w:val="List Table 6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4">
    <w:name w:val="List Table 6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5">
    <w:name w:val="List Table 6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6">
    <w:name w:val="List Table 6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7">
    <w:name w:val="List Table 6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8">
    <w:name w:val="List Table 7 Colorful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9">
    <w:name w:val="List Table 7 Colorful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0">
    <w:name w:val="List Table 7 Colorful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91">
    <w:name w:val="List Table 7 Colorful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92">
    <w:name w:val="List Table 7 Colorful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3">
    <w:name w:val="List Table 7 Colorful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4">
    <w:name w:val="List Table 7 Colorful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5">
    <w:name w:val="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 &amp; Lined - Accent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3">
    <w:name w:val="Bordered &amp; Lined - Accent 1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4">
    <w:name w:val="Bordered &amp; Lined - Accent 2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5">
    <w:name w:val="Bordered &amp; Lined - Accent 3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6">
    <w:name w:val="Bordered &amp; Lined - Accent 4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7">
    <w:name w:val="Bordered &amp; Lined - Accent 5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8">
    <w:name w:val="Bordered &amp; Lined - Accent 6"/>
    <w:basedOn w:val="6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9">
    <w:name w:val="Bordered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0">
    <w:name w:val="Bordered - Accent 1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1">
    <w:name w:val="Bordered - Accent 2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2">
    <w:name w:val="Bordered - Accent 3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3">
    <w:name w:val="Bordered - Accent 4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4">
    <w:name w:val="Bordered - Accent 5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5">
    <w:name w:val="Bordered - Accent 6"/>
    <w:basedOn w:val="6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6">
    <w:name w:val="Hyperlink"/>
    <w:uiPriority w:val="99"/>
    <w:unhideWhenUsed/>
    <w:rPr>
      <w:color w:val="0000FF" w:themeColor="hyperlink"/>
      <w:u w:val="single"/>
    </w:rPr>
  </w:style>
  <w:style w:type="paragraph" w:styleId="617">
    <w:name w:val="footnote text"/>
    <w:basedOn w:val="633"/>
    <w:link w:val="618"/>
    <w:uiPriority w:val="99"/>
    <w:semiHidden/>
    <w:unhideWhenUsed/>
    <w:rPr>
      <w:sz w:val="18"/>
    </w:rPr>
    <w:pPr>
      <w:spacing w:lineRule="auto" w:line="240" w:after="40"/>
    </w:pPr>
  </w:style>
  <w:style w:type="character" w:styleId="618">
    <w:name w:val="Footnote Text Char"/>
    <w:link w:val="617"/>
    <w:uiPriority w:val="99"/>
    <w:rPr>
      <w:sz w:val="18"/>
    </w:rPr>
  </w:style>
  <w:style w:type="character" w:styleId="619">
    <w:name w:val="footnote reference"/>
    <w:basedOn w:val="634"/>
    <w:uiPriority w:val="99"/>
    <w:unhideWhenUsed/>
    <w:rPr>
      <w:vertAlign w:val="superscript"/>
    </w:rPr>
  </w:style>
  <w:style w:type="paragraph" w:styleId="620">
    <w:name w:val="endnote text"/>
    <w:basedOn w:val="633"/>
    <w:link w:val="621"/>
    <w:uiPriority w:val="99"/>
    <w:semiHidden/>
    <w:unhideWhenUsed/>
    <w:rPr>
      <w:sz w:val="20"/>
    </w:rPr>
    <w:pPr>
      <w:spacing w:lineRule="auto" w:line="240" w:after="0"/>
    </w:pPr>
  </w:style>
  <w:style w:type="character" w:styleId="621">
    <w:name w:val="Endnote Text Char"/>
    <w:link w:val="620"/>
    <w:uiPriority w:val="99"/>
    <w:rPr>
      <w:sz w:val="20"/>
    </w:rPr>
  </w:style>
  <w:style w:type="character" w:styleId="622">
    <w:name w:val="endnote reference"/>
    <w:basedOn w:val="634"/>
    <w:uiPriority w:val="99"/>
    <w:semiHidden/>
    <w:unhideWhenUsed/>
    <w:rPr>
      <w:vertAlign w:val="superscript"/>
    </w:rPr>
  </w:style>
  <w:style w:type="paragraph" w:styleId="623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624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625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626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627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628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629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630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631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632">
    <w:name w:val="TOC Heading"/>
    <w:uiPriority w:val="39"/>
    <w:unhideWhenUsed/>
  </w:style>
  <w:style w:type="paragraph" w:styleId="633" w:default="1">
    <w:name w:val="Normal"/>
    <w:qFormat/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List Paragraph"/>
    <w:basedOn w:val="633"/>
    <w:qFormat/>
    <w:uiPriority w:val="34"/>
    <w:pPr>
      <w:contextualSpacing w:val="true"/>
      <w:ind w:left="720"/>
    </w:pPr>
  </w:style>
  <w:style w:type="table" w:styleId="638">
    <w:name w:val="Table Grid"/>
    <w:basedOn w:val="635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9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paragraph" w:styleId="640">
    <w:name w:val="Balloon Text"/>
    <w:basedOn w:val="633"/>
    <w:link w:val="64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41" w:customStyle="1">
    <w:name w:val="Текст выноски Знак"/>
    <w:basedOn w:val="634"/>
    <w:link w:val="640"/>
    <w:uiPriority w:val="99"/>
    <w:semiHidden/>
    <w:rPr>
      <w:rFonts w:ascii="Segoe UI" w:hAnsi="Segoe UI" w:cs="Segoe UI"/>
      <w:sz w:val="18"/>
      <w:szCs w:val="18"/>
    </w:rPr>
  </w:style>
  <w:style w:type="paragraph" w:styleId="642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43">
    <w:name w:val="ConsPlusNormal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2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644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polyakovana</dc:creator>
  <cp:keywords/>
  <dc:description/>
  <cp:revision>21</cp:revision>
  <dcterms:created xsi:type="dcterms:W3CDTF">2019-07-02T12:56:00Z</dcterms:created>
  <dcterms:modified xsi:type="dcterms:W3CDTF">2025-01-27T09:45:07Z</dcterms:modified>
</cp:coreProperties>
</file>