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РОССИЙСКАЯ ФЕДЕРАЦИЯ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СОВЕТ ДЕПУТАТОВ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ГОРОДСКОГО ОКРУГА СЕРЕБРЯНЫЕ ПРУДЫ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РЕШЕНИЕ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24.09.2024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/>
          <w:b/>
          <w:bCs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</w:rPr>
        <w:t xml:space="preserve">214/33</w:t>
      </w:r>
      <w:r>
        <w:rPr>
          <w:b w:val="0"/>
          <w:bCs w:val="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bCs/>
          <w:sz w:val="32"/>
          <w:szCs w:val="32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7796" w:type="dxa"/>
        <w:tblInd w:w="9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9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96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outlineLvl w:val="0"/>
            </w:pPr>
            <w:r>
              <w:rPr>
                <w:bCs/>
                <w:szCs w:val="28"/>
              </w:rPr>
              <w:t xml:space="preserve">«</w:t>
            </w:r>
            <w:r>
              <w:rPr>
                <w:bCs/>
                <w:szCs w:val="28"/>
              </w:rPr>
              <w:t xml:space="preserve">Об утверждении ежегодного отчета о деятельности </w:t>
            </w:r>
            <w:r>
              <w:rPr>
                <w:bCs/>
                <w:szCs w:val="28"/>
              </w:rPr>
              <w:t xml:space="preserve">Контрольно-счетной палаты </w:t>
            </w:r>
            <w:r>
              <w:rPr>
                <w:szCs w:val="28"/>
              </w:rPr>
              <w:t xml:space="preserve">городского округа</w:t>
            </w:r>
            <w:r>
              <w:rPr>
                <w:szCs w:val="28"/>
              </w:rPr>
              <w:br w:type="textWrapping" w:clear="all"/>
            </w:r>
            <w:r>
              <w:rPr>
                <w:szCs w:val="28"/>
              </w:rPr>
              <w:t xml:space="preserve">Серебряные Пруды Московской области</w:t>
            </w:r>
            <w:r>
              <w:rPr>
                <w:szCs w:val="28"/>
              </w:rPr>
              <w:t xml:space="preserve"> за </w:t>
            </w:r>
            <w:r>
              <w:rPr>
                <w:szCs w:val="28"/>
              </w:rPr>
              <w:t xml:space="preserve">2023</w:t>
            </w:r>
            <w:r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»</w:t>
            </w:r>
            <w:r/>
          </w:p>
        </w:tc>
      </w:tr>
    </w:tbl>
    <w:p>
      <w:pPr>
        <w:pStyle w:val="830"/>
        <w:ind w:left="0" w:right="0" w:firstLine="567"/>
        <w:jc w:val="both"/>
        <w:spacing w:line="240" w:lineRule="auto"/>
        <w:rPr>
          <w:sz w:val="8"/>
          <w:szCs w:val="28"/>
        </w:rPr>
      </w:pPr>
      <w:r>
        <w:rPr>
          <w:sz w:val="8"/>
          <w:szCs w:val="28"/>
        </w:rPr>
      </w:r>
      <w:r/>
    </w:p>
    <w:p>
      <w:pPr>
        <w:pStyle w:val="830"/>
        <w:ind w:left="0" w:right="0" w:firstLine="567"/>
        <w:jc w:val="both"/>
        <w:spacing w:before="120" w:line="240" w:lineRule="auto"/>
        <w:rPr>
          <w:szCs w:val="28"/>
        </w:rPr>
      </w:pPr>
      <w:r>
        <w:rPr>
          <w:szCs w:val="28"/>
        </w:rPr>
        <w:t xml:space="preserve">Заслушав и обсудив ежегодный отчет о деятельности Контрольно-счетной палаты городского округа Серебряные Пруды Московской области </w:t>
      </w:r>
      <w:r>
        <w:rPr>
          <w:szCs w:val="28"/>
        </w:rPr>
        <w:t xml:space="preserve">за</w:t>
      </w:r>
      <w:r>
        <w:rPr>
          <w:szCs w:val="28"/>
        </w:rPr>
        <w:t xml:space="preserve"> </w:t>
      </w:r>
      <w:r>
        <w:rPr>
          <w:szCs w:val="28"/>
        </w:rPr>
        <w:t xml:space="preserve">2023</w:t>
      </w:r>
      <w:r>
        <w:rPr>
          <w:szCs w:val="28"/>
        </w:rPr>
        <w:t xml:space="preserve"> год в соответствии с </w:t>
      </w:r>
      <w:r>
        <w:fldChar w:fldCharType="begin"/>
      </w:r>
      <w:r>
        <w:instrText xml:space="preserve"> HYPERLINK "garantF1://12082695.0" </w:instrText>
      </w:r>
      <w:r>
        <w:fldChar w:fldCharType="separate"/>
      </w:r>
      <w:r>
        <w:rPr>
          <w:rStyle w:val="836"/>
          <w:color w:val="000000"/>
          <w:szCs w:val="28"/>
          <w:u w:val="none"/>
        </w:rPr>
        <w:t xml:space="preserve">Федеральным законом</w:t>
      </w:r>
      <w:r>
        <w:fldChar w:fldCharType="end"/>
      </w:r>
      <w:r>
        <w:rPr>
          <w:szCs w:val="28"/>
        </w:rPr>
        <w:t xml:space="preserve">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</w:t>
      </w:r>
      <w:r>
        <w:rPr>
          <w:szCs w:val="28"/>
        </w:rPr>
        <w:t xml:space="preserve"> городского округа Серебряные Пруды Московской области,</w:t>
      </w:r>
      <w:r>
        <w:rPr>
          <w:szCs w:val="28"/>
        </w:rPr>
        <w:t xml:space="preserve"> Положением о Контрольно-счетной палате городского округа Серебряные Пруды Московской области, утвержденным решением Совета депутатов городского округа Серебряные Пруды Московской области от 03.02.2016 №</w:t>
      </w:r>
      <w:r>
        <w:rPr>
          <w:szCs w:val="28"/>
        </w:rPr>
        <w:t xml:space="preserve"> </w:t>
      </w:r>
      <w:r>
        <w:rPr>
          <w:szCs w:val="28"/>
        </w:rPr>
        <w:t xml:space="preserve">703/70</w:t>
      </w:r>
      <w:r>
        <w:rPr>
          <w:szCs w:val="28"/>
        </w:rPr>
        <w:t xml:space="preserve">,</w:t>
      </w:r>
      <w:r>
        <w:rPr>
          <w:szCs w:val="28"/>
        </w:rPr>
      </w:r>
      <w:r/>
    </w:p>
    <w:p>
      <w:pPr>
        <w:pStyle w:val="830"/>
        <w:ind w:left="0" w:right="0" w:firstLine="567"/>
        <w:jc w:val="center"/>
        <w:spacing w:before="120" w:line="240" w:lineRule="auto"/>
        <w:rPr>
          <w:caps/>
          <w:szCs w:val="28"/>
        </w:rPr>
      </w:pPr>
      <w:r>
        <w:rPr>
          <w:caps/>
          <w:szCs w:val="28"/>
        </w:rPr>
        <w:t xml:space="preserve">Совет депутатов </w:t>
      </w:r>
      <w:r>
        <w:rPr>
          <w:szCs w:val="28"/>
        </w:rPr>
        <w:t xml:space="preserve">ГОРОДСКОГО ОКРУГА</w:t>
      </w:r>
      <w:r>
        <w:rPr>
          <w:caps/>
          <w:szCs w:val="28"/>
        </w:rPr>
        <w:t xml:space="preserve"> решил:</w:t>
      </w:r>
      <w:r/>
    </w:p>
    <w:p>
      <w:pPr>
        <w:pStyle w:val="830"/>
        <w:numPr>
          <w:ilvl w:val="0"/>
          <w:numId w:val="2"/>
        </w:numPr>
        <w:ind w:left="0" w:right="0" w:firstLine="425"/>
        <w:jc w:val="both"/>
        <w:spacing w:before="120" w:line="240" w:lineRule="auto"/>
        <w:tabs>
          <w:tab w:val="left" w:pos="850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Утвердить ежегодный отчет о деятельности Контрольно-счетной палаты </w:t>
      </w:r>
      <w:r>
        <w:rPr>
          <w:szCs w:val="28"/>
        </w:rPr>
        <w:t xml:space="preserve">городского округа Серебряные Пруды Московской области </w:t>
      </w:r>
      <w:r>
        <w:rPr>
          <w:szCs w:val="28"/>
        </w:rPr>
        <w:br w:type="textWrapping" w:clear="all"/>
        <w:t xml:space="preserve">за </w:t>
      </w:r>
      <w:r>
        <w:rPr>
          <w:szCs w:val="28"/>
        </w:rPr>
        <w:t xml:space="preserve">2023</w:t>
      </w:r>
      <w:r>
        <w:rPr>
          <w:szCs w:val="28"/>
        </w:rPr>
        <w:t xml:space="preserve"> год согласно Приложению к решению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830"/>
        <w:numPr>
          <w:ilvl w:val="0"/>
          <w:numId w:val="7"/>
        </w:numPr>
        <w:ind w:left="0" w:right="0" w:firstLine="425"/>
        <w:jc w:val="both"/>
        <w:tabs>
          <w:tab w:val="left" w:pos="709" w:leader="none"/>
          <w:tab w:val="left" w:pos="850" w:leader="none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Разместить настоящее решение в сетевом издании «Городской округ Серебряные Пруды», доменное имя сайта в информационно-телекоммуникационной сети «Интернет»: </w:t>
      </w:r>
      <w:r>
        <w:rPr>
          <w:rFonts w:eastAsia="Times New Roman"/>
          <w:szCs w:val="28"/>
          <w:lang w:val="en-US"/>
        </w:rPr>
        <w:t xml:space="preserve">http</w:t>
      </w:r>
      <w:r>
        <w:rPr>
          <w:rFonts w:eastAsia="Times New Roman"/>
          <w:szCs w:val="28"/>
          <w:lang w:val="ru-RU"/>
        </w:rPr>
        <w:t xml:space="preserve">://</w:t>
      </w:r>
      <w:r>
        <w:rPr>
          <w:rFonts w:eastAsia="Times New Roman"/>
          <w:szCs w:val="28"/>
          <w:lang w:val="en-US"/>
        </w:rPr>
        <w:t xml:space="preserve">spadm.ru</w:t>
      </w:r>
      <w:r>
        <w:rPr>
          <w:rFonts w:eastAsia="Times New Roman"/>
          <w:szCs w:val="28"/>
          <w:lang w:eastAsia="ru-RU"/>
        </w:rPr>
        <w:t xml:space="preserve">.</w:t>
      </w:r>
      <w:r/>
    </w:p>
    <w:p>
      <w:pPr>
        <w:pStyle w:val="830"/>
        <w:numPr>
          <w:ilvl w:val="0"/>
          <w:numId w:val="7"/>
        </w:numPr>
        <w:ind w:left="0" w:right="0" w:firstLine="425"/>
        <w:jc w:val="both"/>
        <w:spacing w:line="240" w:lineRule="auto"/>
        <w:tabs>
          <w:tab w:val="left" w:pos="709" w:leader="none"/>
          <w:tab w:val="left" w:pos="993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Настоящее решение вступает в силу после его 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HYPERLINK "garantF1://36646317.0" </w:instrText>
      </w:r>
      <w:r>
        <w:rPr>
          <w:szCs w:val="28"/>
          <w:lang w:eastAsia="ru-RU"/>
        </w:rPr>
        <w:fldChar w:fldCharType="separate"/>
      </w:r>
      <w:r>
        <w:rPr>
          <w:rStyle w:val="836"/>
          <w:color w:val="000000"/>
          <w:szCs w:val="28"/>
          <w:u w:val="none"/>
          <w:lang w:eastAsia="ru-RU"/>
        </w:rPr>
        <w:t xml:space="preserve">официального опубликования</w:t>
      </w:r>
      <w:r>
        <w:rPr>
          <w:szCs w:val="28"/>
          <w:lang w:eastAsia="ru-RU"/>
        </w:rPr>
        <w:fldChar w:fldCharType="end"/>
      </w:r>
      <w:r>
        <w:rPr>
          <w:szCs w:val="28"/>
          <w:lang w:eastAsia="ru-RU"/>
        </w:rPr>
        <w:t xml:space="preserve">.</w:t>
      </w:r>
      <w:r/>
    </w:p>
    <w:p>
      <w:pPr>
        <w:ind w:left="567" w:firstLine="0"/>
        <w:jc w:val="both"/>
        <w:spacing w:line="240" w:lineRule="auto"/>
        <w:tabs>
          <w:tab w:val="left" w:pos="993" w:leader="none"/>
        </w:tabs>
        <w:rPr>
          <w:lang w:eastAsia="ru-RU"/>
        </w:rPr>
      </w:pPr>
      <w:r>
        <w:rPr>
          <w:szCs w:val="28"/>
          <w:highlight w:val="none"/>
          <w:lang w:eastAsia="ru-RU"/>
        </w:rPr>
      </w:r>
      <w:r>
        <w:rPr>
          <w:szCs w:val="28"/>
          <w:highlight w:val="none"/>
          <w:lang w:eastAsia="ru-RU"/>
        </w:rPr>
      </w:r>
      <w:r/>
    </w:p>
    <w:tbl>
      <w:tblPr>
        <w:tblW w:w="0" w:type="auto"/>
        <w:tblInd w:w="4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12"/>
        <w:gridCol w:w="297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2" w:type="dxa"/>
            <w:vAlign w:val="bottom"/>
            <w:textDirection w:val="lrTb"/>
            <w:noWrap w:val="false"/>
          </w:tcPr>
          <w:p>
            <w:pPr>
              <w:pStyle w:val="830"/>
              <w:ind w:left="283" w:right="0" w:firstLine="0"/>
              <w:spacing w:line="240" w:lineRule="auto"/>
              <w:rPr>
                <w:rFonts w:eastAsia="Times New Roman"/>
                <w:highlight w:val="none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Председатель Совета депутатов</w:t>
              <w:br w:type="textWrapping" w:clear="all"/>
            </w:r>
            <w:r>
              <w:rPr>
                <w:rFonts w:eastAsia="Times New Roman"/>
                <w:szCs w:val="28"/>
                <w:lang w:eastAsia="zh-CN"/>
              </w:rPr>
              <w:t xml:space="preserve">городского округа Серебряные Пруды</w:t>
            </w:r>
            <w:r/>
          </w:p>
          <w:p>
            <w:pPr>
              <w:ind w:left="283" w:right="0" w:firstLine="0"/>
              <w:spacing w:line="240" w:lineRule="auto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szCs w:val="28"/>
                <w:highlight w:val="none"/>
                <w:lang w:eastAsia="zh-CN"/>
              </w:rPr>
              <w:t xml:space="preserve">Московской области</w:t>
            </w:r>
            <w:r>
              <w:rPr>
                <w:rFonts w:eastAsia="Times New Roman"/>
                <w:szCs w:val="28"/>
                <w:highlight w:val="none"/>
                <w:lang w:eastAsia="zh-C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pStyle w:val="830"/>
              <w:ind w:left="567" w:right="0" w:firstLine="0"/>
              <w:spacing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В.В. Растегаев</w:t>
            </w:r>
            <w:r>
              <w:rPr>
                <w:rFonts w:eastAsia="Times New Roman"/>
                <w:szCs w:val="24"/>
                <w:lang w:eastAsia="zh-CN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12" w:type="dxa"/>
            <w:vAlign w:val="bottom"/>
            <w:textDirection w:val="lrTb"/>
            <w:noWrap w:val="false"/>
          </w:tcPr>
          <w:p>
            <w:pPr>
              <w:pStyle w:val="830"/>
              <w:ind w:left="567" w:right="0" w:firstLine="0"/>
              <w:spacing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</w:r>
            <w:r/>
          </w:p>
          <w:p>
            <w:pPr>
              <w:pStyle w:val="830"/>
              <w:ind w:left="283" w:right="0" w:firstLine="0"/>
              <w:spacing w:line="240" w:lineRule="auto"/>
              <w:rPr>
                <w:rFonts w:eastAsia="Times New Roman"/>
                <w:highlight w:val="none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Глава </w:t>
            </w:r>
            <w:r>
              <w:rPr>
                <w:rFonts w:eastAsia="Times New Roman"/>
                <w:szCs w:val="28"/>
                <w:lang w:eastAsia="zh-CN"/>
              </w:rPr>
              <w:t xml:space="preserve">городского округа </w:t>
            </w:r>
            <w:r>
              <w:rPr>
                <w:szCs w:val="28"/>
              </w:rPr>
              <w:t xml:space="preserve">Серебряные Пруды</w:t>
            </w:r>
            <w:r>
              <w:rPr>
                <w:rFonts w:eastAsia="Times New Roman"/>
                <w:szCs w:val="28"/>
                <w:lang w:eastAsia="zh-CN"/>
              </w:rPr>
            </w:r>
            <w:r/>
          </w:p>
          <w:p>
            <w:pPr>
              <w:ind w:left="283" w:right="0" w:firstLine="0"/>
              <w:spacing w:line="240" w:lineRule="auto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szCs w:val="28"/>
                <w:highlight w:val="none"/>
                <w:lang w:eastAsia="zh-CN"/>
              </w:rPr>
              <w:t xml:space="preserve">Московской области</w:t>
            </w:r>
            <w:r>
              <w:rPr>
                <w:rFonts w:eastAsia="Times New Roman"/>
                <w:szCs w:val="28"/>
                <w:highlight w:val="none"/>
                <w:lang w:eastAsia="zh-C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pStyle w:val="830"/>
              <w:ind w:left="567" w:right="0" w:firstLine="0"/>
              <w:spacing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О.В. Павлихин</w:t>
            </w:r>
            <w:r/>
          </w:p>
        </w:tc>
      </w:tr>
    </w:tbl>
    <w:p>
      <w:pPr>
        <w:pStyle w:val="83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 w:clear="all"/>
      </w:r>
      <w:r/>
    </w:p>
    <w:tbl>
      <w:tblPr>
        <w:tblW w:w="9781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85"/>
        <w:gridCol w:w="409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85" w:type="dxa"/>
            <w:vAlign w:val="top"/>
            <w:textDirection w:val="lrTb"/>
            <w:noWrap w:val="false"/>
          </w:tcPr>
          <w:p>
            <w:pPr>
              <w:pStyle w:val="846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96" w:type="dxa"/>
            <w:vAlign w:val="top"/>
            <w:textDirection w:val="lrTb"/>
            <w:noWrap w:val="false"/>
          </w:tcPr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/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</w:t>
            </w:r>
            <w:r/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</w:t>
            </w:r>
            <w:r/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Серебряные Пруды</w:t>
            </w:r>
            <w:r/>
          </w:p>
          <w:p>
            <w:pPr>
              <w:pStyle w:val="8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Московской области</w:t>
            </w:r>
            <w:r/>
          </w:p>
          <w:p>
            <w:pPr>
              <w:pStyle w:val="846"/>
              <w:spacing w:before="240"/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 24.09.2024 </w:t>
            </w:r>
            <w:r>
              <w:rPr>
                <w:sz w:val="28"/>
                <w:szCs w:val="28"/>
              </w:rPr>
              <w:t xml:space="preserve">№ 214/33</w:t>
            </w:r>
            <w:r/>
          </w:p>
        </w:tc>
      </w:tr>
    </w:tbl>
    <w:p>
      <w:pPr>
        <w:pStyle w:val="830"/>
        <w:spacing w:line="240" w:lineRule="auto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</w:r>
      <w:r/>
    </w:p>
    <w:p>
      <w:pPr>
        <w:pStyle w:val="830"/>
        <w:spacing w:line="240" w:lineRule="auto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</w:r>
      <w:r/>
    </w:p>
    <w:p>
      <w:pPr>
        <w:pStyle w:val="830"/>
        <w:jc w:val="center"/>
        <w:rPr>
          <w:szCs w:val="28"/>
        </w:rPr>
      </w:pPr>
      <w:r>
        <w:rPr>
          <w:szCs w:val="28"/>
        </w:rPr>
        <w:t xml:space="preserve">ОТЧЕТ</w:t>
      </w:r>
      <w:r/>
    </w:p>
    <w:p>
      <w:pPr>
        <w:pStyle w:val="830"/>
        <w:jc w:val="center"/>
        <w:rPr>
          <w:szCs w:val="28"/>
        </w:rPr>
      </w:pPr>
      <w:r>
        <w:rPr>
          <w:szCs w:val="28"/>
        </w:rPr>
        <w:t xml:space="preserve">о деятельности Контрольно-счетной палаты </w:t>
        <w:br w:type="textWrapping" w:clear="all"/>
        <w:t xml:space="preserve">городского округа Серебряные Пруды</w:t>
        <w:br w:type="textWrapping" w:clear="all"/>
        <w:t xml:space="preserve">Московской области за </w:t>
      </w:r>
      <w:r>
        <w:rPr>
          <w:szCs w:val="28"/>
        </w:rPr>
        <w:t xml:space="preserve">2023</w:t>
      </w:r>
      <w:r>
        <w:rPr>
          <w:szCs w:val="28"/>
        </w:rPr>
        <w:t xml:space="preserve"> год</w:t>
      </w:r>
      <w:r/>
    </w:p>
    <w:p>
      <w:pPr>
        <w:pStyle w:val="830"/>
        <w:jc w:val="center"/>
        <w:rPr>
          <w:color w:val="1f497d"/>
          <w:szCs w:val="28"/>
        </w:rPr>
      </w:pPr>
      <w:r>
        <w:rPr>
          <w:color w:val="1f497d"/>
          <w:szCs w:val="28"/>
        </w:rPr>
      </w:r>
      <w:r/>
    </w:p>
    <w:p>
      <w:pPr>
        <w:pStyle w:val="830"/>
        <w:ind w:firstLine="709"/>
        <w:jc w:val="both"/>
        <w:rPr>
          <w:szCs w:val="28"/>
        </w:rPr>
      </w:pPr>
      <w:r>
        <w:rPr>
          <w:szCs w:val="28"/>
        </w:rPr>
        <w:t xml:space="preserve">Настоящий отчет о деятельности Контрольно-счетной палаты городского округа Серебряные Пруды Московской области за </w:t>
      </w:r>
      <w:r>
        <w:rPr>
          <w:szCs w:val="28"/>
        </w:rPr>
        <w:t xml:space="preserve">2023</w:t>
      </w:r>
      <w:r>
        <w:rPr>
          <w:szCs w:val="28"/>
        </w:rPr>
        <w:t xml:space="preserve"> год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</w:t>
      </w:r>
      <w:r>
        <w:rPr>
          <w:szCs w:val="28"/>
        </w:rPr>
        <w:t xml:space="preserve">и и муниципальных образований» (статья 19) и Положением о Контрольно-счетной палате городского округа Серебряные Пруды Московской области, утвержденным решением Совета депутатов городского округа Серебряные Пруды Московской области от 03.02.2016 № 703/70. </w:t>
      </w:r>
      <w:r/>
    </w:p>
    <w:p>
      <w:pPr>
        <w:pStyle w:val="830"/>
        <w:ind w:firstLine="709"/>
        <w:jc w:val="both"/>
        <w:rPr>
          <w:szCs w:val="28"/>
        </w:rPr>
      </w:pPr>
      <w:r>
        <w:rPr>
          <w:szCs w:val="28"/>
        </w:rPr>
        <w:t xml:space="preserve">В Отчете отражены результ</w:t>
      </w:r>
      <w:r>
        <w:rPr>
          <w:szCs w:val="28"/>
        </w:rPr>
        <w:t xml:space="preserve">аты деятельности Контрольно-счетной палаты городского округа Серебряные Пруды Московской области (далее – КСП ГО Серебряные Пруды) по выполнению возложенных задач и реализации полномочий, определенных федеральным законодательством и иными правовыми актами.</w:t>
      </w:r>
      <w:r/>
    </w:p>
    <w:p>
      <w:pPr>
        <w:pStyle w:val="830"/>
        <w:ind w:firstLine="709"/>
        <w:jc w:val="both"/>
        <w:rPr>
          <w:szCs w:val="28"/>
        </w:rPr>
      </w:pPr>
      <w:r>
        <w:rPr>
          <w:szCs w:val="28"/>
        </w:rPr>
        <w:t xml:space="preserve">КСП ГО Серебряные Пруды является постоянно действующим органом внешнего муниципального финансового контроля, который в своей работе основывается на принципах законности, объективности, эффективности, независимости и гласности.</w:t>
      </w:r>
      <w:r/>
    </w:p>
    <w:p>
      <w:pPr>
        <w:pStyle w:val="830"/>
        <w:ind w:firstLine="720"/>
        <w:jc w:val="both"/>
        <w:rPr>
          <w:szCs w:val="28"/>
        </w:rPr>
      </w:pPr>
      <w:r>
        <w:rPr>
          <w:szCs w:val="28"/>
        </w:rPr>
        <w:t xml:space="preserve">Внешний муниципальный финансовый контроль осуществляется в форме контрольных или экспертно-аналитических мероприятий. Методами осуществления внешнего муниципального финансового контроля являются проверка, экспертиза, анализ и мониторинг.</w:t>
      </w:r>
      <w:r/>
    </w:p>
    <w:p>
      <w:pPr>
        <w:pStyle w:val="830"/>
        <w:ind w:firstLine="720"/>
        <w:jc w:val="both"/>
        <w:rPr>
          <w:szCs w:val="28"/>
        </w:rPr>
      </w:pPr>
      <w:r>
        <w:rPr>
          <w:szCs w:val="28"/>
        </w:rPr>
        <w:t xml:space="preserve">Деятельность КСП ГО Серебряные Пруды за </w:t>
      </w:r>
      <w:r>
        <w:rPr>
          <w:szCs w:val="28"/>
        </w:rPr>
        <w:t xml:space="preserve">2023</w:t>
      </w:r>
      <w:r>
        <w:rPr>
          <w:szCs w:val="28"/>
        </w:rPr>
        <w:t xml:space="preserve"> год осуществлялась в соответствии с Планом работы КСП ГО </w:t>
      </w:r>
      <w:r>
        <w:rPr>
          <w:szCs w:val="28"/>
        </w:rPr>
        <w:t xml:space="preserve">Серебряные Пруды, утвержденным </w:t>
      </w:r>
      <w:r>
        <w:rPr>
          <w:szCs w:val="28"/>
        </w:rPr>
        <w:t xml:space="preserve">Постановлением КСП ГО Серебряные Пруды </w:t>
      </w:r>
      <w:r>
        <w:rPr>
          <w:szCs w:val="28"/>
        </w:rPr>
        <w:t xml:space="preserve">от </w:t>
      </w:r>
      <w:r>
        <w:rPr>
          <w:szCs w:val="28"/>
        </w:rPr>
        <w:t xml:space="preserve">29</w:t>
      </w:r>
      <w:r>
        <w:rPr>
          <w:szCs w:val="28"/>
        </w:rPr>
        <w:t xml:space="preserve">.12.</w:t>
      </w:r>
      <w:r>
        <w:rPr>
          <w:szCs w:val="28"/>
        </w:rPr>
        <w:t xml:space="preserve"> 2022№ 18/22(в ред. Постановления от 26.01.2023 №2/23, от 27.02.2023 №3/23, от 27.02.2023 №3/23, от 23.03.2023 №4/23, от 11.07.2023 №5/23, от 26.07.2023 №6/23, от 12.09.2023 №13/23</w:t>
      </w:r>
      <w:r>
        <w:rPr>
          <w:szCs w:val="28"/>
        </w:rPr>
        <w:t xml:space="preserve">, от 27.10.2023 №23/23</w:t>
      </w:r>
      <w:r>
        <w:rPr>
          <w:szCs w:val="28"/>
        </w:rPr>
        <w:t xml:space="preserve">).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Основные показатели деятельности КСП ГО Серебряные Пруды за 202</w:t>
      </w:r>
      <w:r>
        <w:rPr>
          <w:szCs w:val="28"/>
        </w:rPr>
        <w:t xml:space="preserve">3</w:t>
      </w:r>
      <w:r>
        <w:rPr>
          <w:szCs w:val="28"/>
        </w:rPr>
        <w:t xml:space="preserve">год представлены в приложении №1 к настоящему отчету.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В рамках основной деятельности КСП ГО Серебряные Пруды в </w:t>
      </w:r>
      <w:r>
        <w:rPr>
          <w:szCs w:val="28"/>
        </w:rPr>
        <w:t xml:space="preserve">2023</w:t>
      </w:r>
      <w:r>
        <w:rPr>
          <w:szCs w:val="28"/>
        </w:rPr>
        <w:t xml:space="preserve"> году проведено </w:t>
      </w:r>
      <w:r>
        <w:rPr>
          <w:szCs w:val="28"/>
        </w:rPr>
        <w:t xml:space="preserve">23</w:t>
      </w:r>
      <w:r>
        <w:rPr>
          <w:szCs w:val="28"/>
        </w:rPr>
        <w:t xml:space="preserve"> мероприятий, из них </w:t>
      </w:r>
      <w:r>
        <w:rPr>
          <w:szCs w:val="28"/>
        </w:rPr>
        <w:t xml:space="preserve">9</w:t>
      </w:r>
      <w:r>
        <w:rPr>
          <w:szCs w:val="28"/>
        </w:rPr>
        <w:t xml:space="preserve"> – контрольных мероприятия</w:t>
      </w:r>
      <w:r>
        <w:rPr>
          <w:szCs w:val="28"/>
        </w:rPr>
        <w:t xml:space="preserve">, из них 5 по поручениям Совета депутатов, в соответствии с поступившими поручениями</w:t>
      </w:r>
      <w:r>
        <w:rPr>
          <w:szCs w:val="28"/>
        </w:rPr>
        <w:t xml:space="preserve"> </w:t>
      </w:r>
      <w:r>
        <w:rPr>
          <w:szCs w:val="28"/>
        </w:rPr>
        <w:t xml:space="preserve">Прокурора района Прокуратуры Серебряно-Прудского района Московской области.</w:t>
      </w:r>
      <w:r>
        <w:rPr>
          <w:szCs w:val="28"/>
        </w:rPr>
        <w:t xml:space="preserve"> </w:t>
      </w:r>
      <w:r>
        <w:rPr>
          <w:szCs w:val="28"/>
        </w:rPr>
        <w:t xml:space="preserve">Также </w:t>
      </w:r>
      <w:r>
        <w:rPr>
          <w:szCs w:val="28"/>
        </w:rPr>
        <w:t xml:space="preserve">14</w:t>
      </w:r>
      <w:r>
        <w:rPr>
          <w:szCs w:val="28"/>
        </w:rPr>
        <w:t xml:space="preserve"> </w:t>
      </w:r>
      <w:r>
        <w:rPr>
          <w:szCs w:val="28"/>
        </w:rPr>
        <w:t xml:space="preserve">– экспе</w:t>
      </w:r>
      <w:r>
        <w:rPr>
          <w:szCs w:val="28"/>
        </w:rPr>
        <w:t xml:space="preserve">ртно-аналитических мероприятия</w:t>
      </w:r>
      <w:r>
        <w:rPr>
          <w:szCs w:val="28"/>
        </w:rPr>
        <w:t xml:space="preserve">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2023</w:t>
      </w:r>
      <w:r>
        <w:rPr>
          <w:szCs w:val="28"/>
        </w:rPr>
        <w:t xml:space="preserve"> году контрольными и экспертно-аналитическими мероприятиями охвачено </w:t>
      </w:r>
      <w:r>
        <w:rPr>
          <w:szCs w:val="28"/>
        </w:rPr>
        <w:t xml:space="preserve">2</w:t>
      </w:r>
      <w:r>
        <w:rPr>
          <w:szCs w:val="28"/>
        </w:rPr>
        <w:t xml:space="preserve">9</w:t>
      </w:r>
      <w:r>
        <w:rPr>
          <w:szCs w:val="28"/>
        </w:rPr>
        <w:t xml:space="preserve"> объектов.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Общий объем финансовых средств, проверенных в отчетном году в ходе внешнего муниципального финансового контроля составил </w:t>
      </w:r>
      <w:r>
        <w:rPr>
          <w:szCs w:val="28"/>
        </w:rPr>
        <w:t xml:space="preserve">199 869,26</w:t>
      </w:r>
      <w:r>
        <w:rPr>
          <w:szCs w:val="28"/>
        </w:rPr>
        <w:t xml:space="preserve"> тысяч</w:t>
      </w:r>
      <w:r>
        <w:rPr>
          <w:szCs w:val="28"/>
        </w:rPr>
        <w:t xml:space="preserve"> рублей.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Итоги деятельности КСП ГО Серебряные Пруды за </w:t>
      </w:r>
      <w:r>
        <w:rPr>
          <w:szCs w:val="28"/>
        </w:rPr>
        <w:t xml:space="preserve">2023</w:t>
      </w:r>
      <w:r>
        <w:rPr>
          <w:szCs w:val="28"/>
        </w:rPr>
        <w:t xml:space="preserve"> год по выявленным нарушениям в соответствии с Классификатором нарушений, выявляемых в ходе внешнего муниципального аудита (контроля), представлены в приложении №2 к настоящему отчету.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Всего выявлено и классифицировано </w:t>
      </w:r>
      <w:r>
        <w:rPr>
          <w:szCs w:val="28"/>
        </w:rPr>
        <w:t xml:space="preserve">125</w:t>
      </w:r>
      <w:r>
        <w:rPr>
          <w:szCs w:val="28"/>
        </w:rPr>
        <w:t xml:space="preserve"> нарушени</w:t>
      </w:r>
      <w:r>
        <w:rPr>
          <w:szCs w:val="28"/>
        </w:rPr>
        <w:t xml:space="preserve">й</w:t>
      </w:r>
      <w:r>
        <w:rPr>
          <w:szCs w:val="28"/>
        </w:rPr>
        <w:t xml:space="preserve"> на общую сумму </w:t>
      </w:r>
      <w:r>
        <w:rPr>
          <w:szCs w:val="28"/>
        </w:rPr>
        <w:t xml:space="preserve">44 850,09</w:t>
      </w:r>
      <w:r>
        <w:rPr>
          <w:szCs w:val="28"/>
        </w:rPr>
        <w:t xml:space="preserve"> </w:t>
      </w:r>
      <w:r>
        <w:rPr>
          <w:szCs w:val="28"/>
        </w:rPr>
        <w:t xml:space="preserve">тысяч рублей.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Наибольший суммарный объем нарушений в отчетном году выявлен в вопросах ведения бухгалтерского учета, составления и представления бухгалтерской отчетности. Сумма выявленных нарушений составила </w:t>
      </w:r>
      <w:r>
        <w:rPr>
          <w:szCs w:val="28"/>
        </w:rPr>
        <w:t xml:space="preserve">19 598,23</w:t>
      </w:r>
      <w:r>
        <w:rPr>
          <w:szCs w:val="28"/>
        </w:rPr>
        <w:t xml:space="preserve"> тысяч</w:t>
      </w:r>
      <w:r>
        <w:rPr>
          <w:szCs w:val="28"/>
        </w:rPr>
        <w:t xml:space="preserve">и</w:t>
      </w:r>
      <w:r>
        <w:rPr>
          <w:szCs w:val="28"/>
        </w:rPr>
        <w:t xml:space="preserve"> рублей</w:t>
      </w:r>
      <w:r>
        <w:rPr>
          <w:szCs w:val="28"/>
        </w:rPr>
        <w:t xml:space="preserve"> или</w:t>
      </w:r>
      <w:r>
        <w:rPr>
          <w:szCs w:val="28"/>
        </w:rPr>
        <w:t xml:space="preserve"> </w:t>
      </w:r>
      <w:r>
        <w:rPr>
          <w:szCs w:val="28"/>
        </w:rPr>
        <w:t xml:space="preserve">43,69719</w:t>
      </w:r>
      <w:r>
        <w:rPr>
          <w:szCs w:val="28"/>
        </w:rPr>
        <w:t xml:space="preserve">% от общей суммы выявленных нарушений.</w:t>
      </w:r>
      <w:r/>
    </w:p>
    <w:p>
      <w:pPr>
        <w:pStyle w:val="830"/>
        <w:ind w:firstLine="709"/>
        <w:jc w:val="both"/>
        <w:spacing w:before="120"/>
        <w:rPr>
          <w:bCs/>
          <w:szCs w:val="28"/>
        </w:rPr>
      </w:pPr>
      <w:r>
        <w:rPr>
          <w:szCs w:val="28"/>
        </w:rPr>
        <w:t xml:space="preserve">Результаты внешнего муниципального финансового контроля свидетельствуют о том, что большое количество нарушений в </w:t>
      </w:r>
      <w:r>
        <w:rPr>
          <w:szCs w:val="28"/>
        </w:rPr>
        <w:t xml:space="preserve">2023</w:t>
      </w:r>
      <w:r>
        <w:rPr>
          <w:szCs w:val="28"/>
        </w:rPr>
        <w:t xml:space="preserve"> году выявлено при осуществлении муниципальных закупок – </w:t>
      </w:r>
      <w:r>
        <w:rPr>
          <w:szCs w:val="28"/>
        </w:rPr>
        <w:t xml:space="preserve">5</w:t>
      </w:r>
      <w:r>
        <w:rPr>
          <w:szCs w:val="28"/>
        </w:rPr>
        <w:t xml:space="preserve">1</w:t>
      </w:r>
      <w:r>
        <w:rPr>
          <w:szCs w:val="28"/>
        </w:rPr>
        <w:t xml:space="preserve"> нарушени</w:t>
      </w:r>
      <w:r>
        <w:rPr>
          <w:szCs w:val="28"/>
        </w:rPr>
        <w:t xml:space="preserve">е</w:t>
      </w:r>
      <w:r>
        <w:rPr>
          <w:szCs w:val="28"/>
        </w:rPr>
        <w:t xml:space="preserve">, при этом сумма нарушений составляет </w:t>
      </w:r>
      <w:r>
        <w:rPr>
          <w:szCs w:val="28"/>
        </w:rPr>
        <w:t xml:space="preserve">9 893,45</w:t>
      </w:r>
      <w:r>
        <w:rPr>
          <w:bCs/>
          <w:szCs w:val="28"/>
        </w:rPr>
        <w:t xml:space="preserve"> тысячи рублей</w:t>
      </w:r>
      <w:r>
        <w:rPr>
          <w:szCs w:val="28"/>
        </w:rPr>
        <w:t xml:space="preserve">. В </w:t>
      </w:r>
      <w:r>
        <w:rPr>
          <w:szCs w:val="28"/>
        </w:rPr>
        <w:t xml:space="preserve">2023</w:t>
      </w:r>
      <w:r>
        <w:rPr>
          <w:szCs w:val="28"/>
        </w:rPr>
        <w:t xml:space="preserve"> году КСП ГО Серебряные Пруды в рамках </w:t>
      </w:r>
      <w:r>
        <w:rPr>
          <w:szCs w:val="28"/>
        </w:rPr>
        <w:t xml:space="preserve">7</w:t>
      </w:r>
      <w:r>
        <w:rPr>
          <w:szCs w:val="28"/>
        </w:rPr>
        <w:t xml:space="preserve"> мероприятий осуществлен аудит </w:t>
      </w:r>
      <w:r>
        <w:rPr>
          <w:szCs w:val="28"/>
        </w:rPr>
        <w:t xml:space="preserve">268</w:t>
      </w:r>
      <w:r>
        <w:rPr>
          <w:szCs w:val="28"/>
        </w:rPr>
        <w:t xml:space="preserve"> закуп</w:t>
      </w:r>
      <w:r>
        <w:rPr>
          <w:szCs w:val="28"/>
        </w:rPr>
        <w:t xml:space="preserve">ок</w:t>
      </w:r>
      <w:r>
        <w:rPr>
          <w:szCs w:val="28"/>
        </w:rPr>
        <w:t xml:space="preserve"> товаров, работ, услуг. В </w:t>
      </w:r>
      <w:r>
        <w:rPr>
          <w:szCs w:val="28"/>
        </w:rPr>
        <w:t xml:space="preserve">129</w:t>
      </w:r>
      <w:r>
        <w:rPr>
          <w:szCs w:val="28"/>
        </w:rPr>
        <w:t xml:space="preserve"> закуп</w:t>
      </w:r>
      <w:r>
        <w:rPr>
          <w:szCs w:val="28"/>
        </w:rPr>
        <w:t xml:space="preserve">ок</w:t>
      </w:r>
      <w:r>
        <w:rPr>
          <w:szCs w:val="28"/>
        </w:rPr>
        <w:t xml:space="preserve"> (</w:t>
      </w:r>
      <w:r>
        <w:rPr>
          <w:szCs w:val="28"/>
        </w:rPr>
        <w:t xml:space="preserve">48,134</w:t>
      </w:r>
      <w:r>
        <w:rPr>
          <w:szCs w:val="28"/>
        </w:rPr>
        <w:t xml:space="preserve"> % от общего количества проверенных закупок) выявлены нарушения. </w:t>
      </w:r>
      <w:r>
        <w:rPr>
          <w:szCs w:val="28"/>
        </w:rPr>
        <w:t xml:space="preserve">При формировании и исполнении бюджетов</w:t>
      </w:r>
      <w:r>
        <w:t xml:space="preserve"> </w:t>
      </w:r>
      <w:r>
        <w:rPr>
          <w:szCs w:val="28"/>
        </w:rPr>
        <w:t xml:space="preserve">выявлено 22 нарушения или 17,6% от </w:t>
      </w:r>
      <w:r>
        <w:rPr>
          <w:szCs w:val="28"/>
        </w:rPr>
        <w:t xml:space="preserve">общего количества </w:t>
      </w:r>
      <w:r>
        <w:rPr>
          <w:szCs w:val="28"/>
        </w:rPr>
        <w:t xml:space="preserve">выявленных нарушений,  </w:t>
      </w:r>
      <w:r>
        <w:rPr>
          <w:szCs w:val="28"/>
        </w:rPr>
        <w:t xml:space="preserve"> в сфере управления и распоряжения государственной (муниципальной) собственностью </w:t>
      </w:r>
      <w:r>
        <w:rPr>
          <w:szCs w:val="28"/>
        </w:rPr>
        <w:t xml:space="preserve">выявлено 7</w:t>
      </w:r>
      <w:r>
        <w:rPr>
          <w:szCs w:val="28"/>
        </w:rPr>
        <w:t xml:space="preserve"> нарушений </w:t>
      </w:r>
      <w:r>
        <w:rPr>
          <w:bCs/>
          <w:szCs w:val="28"/>
        </w:rPr>
        <w:t xml:space="preserve">или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5,6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% от обще</w:t>
      </w:r>
      <w:r>
        <w:rPr>
          <w:bCs/>
          <w:szCs w:val="28"/>
        </w:rPr>
        <w:t xml:space="preserve">го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количества</w:t>
      </w:r>
      <w:r>
        <w:rPr>
          <w:bCs/>
          <w:szCs w:val="28"/>
        </w:rPr>
        <w:t xml:space="preserve"> выявленных нарушений. 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При проведении экспертно-аналитич</w:t>
      </w:r>
      <w:r>
        <w:rPr>
          <w:szCs w:val="28"/>
        </w:rPr>
        <w:t xml:space="preserve">еских мероприятий подготовлено </w:t>
      </w:r>
      <w:r>
        <w:rPr>
          <w:szCs w:val="28"/>
        </w:rPr>
        <w:t xml:space="preserve">8</w:t>
      </w:r>
      <w:r>
        <w:rPr>
          <w:szCs w:val="28"/>
        </w:rPr>
        <w:t xml:space="preserve"> экспертных заключения на проекты муниципальных правовых актов; </w:t>
      </w:r>
      <w:r>
        <w:rPr>
          <w:szCs w:val="28"/>
        </w:rPr>
        <w:t xml:space="preserve">1</w:t>
      </w:r>
      <w:r>
        <w:rPr>
          <w:szCs w:val="28"/>
        </w:rPr>
        <w:t xml:space="preserve"> информационный материал о ходе исполнения бюджета городского округа.</w:t>
      </w:r>
      <w:r/>
    </w:p>
    <w:p>
      <w:pPr>
        <w:pStyle w:val="830"/>
        <w:ind w:firstLine="709"/>
        <w:jc w:val="both"/>
        <w:spacing w:before="240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2023</w:t>
      </w:r>
      <w:r>
        <w:rPr>
          <w:szCs w:val="28"/>
        </w:rPr>
        <w:t xml:space="preserve"> году нецелевого использования средств бюджетов не выявлено.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В ходе контрольн</w:t>
      </w:r>
      <w:r>
        <w:rPr>
          <w:szCs w:val="28"/>
        </w:rPr>
        <w:t xml:space="preserve">ых</w:t>
      </w:r>
      <w:r>
        <w:rPr>
          <w:szCs w:val="28"/>
        </w:rPr>
        <w:t xml:space="preserve"> мероприяти</w:t>
      </w:r>
      <w:r>
        <w:rPr>
          <w:szCs w:val="28"/>
        </w:rPr>
        <w:t xml:space="preserve">й</w:t>
      </w:r>
      <w:r>
        <w:rPr>
          <w:szCs w:val="28"/>
        </w:rPr>
        <w:t xml:space="preserve"> установлен 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факт </w:t>
      </w:r>
      <w:r>
        <w:rPr>
          <w:szCs w:val="28"/>
        </w:rPr>
        <w:t xml:space="preserve">неэффективного использования бюджетных средств</w:t>
      </w:r>
      <w:r>
        <w:rPr>
          <w:szCs w:val="28"/>
        </w:rPr>
        <w:t xml:space="preserve">,</w:t>
      </w:r>
      <w:r>
        <w:rPr>
          <w:szCs w:val="28"/>
        </w:rPr>
        <w:t xml:space="preserve"> в размере </w:t>
      </w:r>
      <w:r>
        <w:rPr>
          <w:szCs w:val="28"/>
        </w:rPr>
        <w:t xml:space="preserve">58,86</w:t>
      </w:r>
      <w:r>
        <w:rPr>
          <w:szCs w:val="28"/>
        </w:rPr>
        <w:t xml:space="preserve"> тысяч рублей. </w:t>
      </w:r>
      <w:r>
        <w:rPr>
          <w:szCs w:val="28"/>
        </w:rPr>
        <w:t xml:space="preserve">Нарушение устранено в полном объеме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Избыточны</w:t>
      </w:r>
      <w:r>
        <w:rPr>
          <w:szCs w:val="28"/>
        </w:rPr>
        <w:t xml:space="preserve">е</w:t>
      </w:r>
      <w:r>
        <w:rPr>
          <w:szCs w:val="28"/>
        </w:rPr>
        <w:t xml:space="preserve"> затрат</w:t>
      </w:r>
      <w:r>
        <w:rPr>
          <w:szCs w:val="28"/>
        </w:rPr>
        <w:t xml:space="preserve">ы</w:t>
      </w:r>
      <w:r>
        <w:rPr>
          <w:szCs w:val="28"/>
        </w:rPr>
        <w:t xml:space="preserve"> бюджетных средств</w:t>
      </w:r>
      <w:r>
        <w:rPr>
          <w:szCs w:val="28"/>
        </w:rPr>
        <w:t xml:space="preserve"> в 2023 году составили 58,86 тысячи рублей. Б</w:t>
      </w:r>
      <w:r>
        <w:rPr>
          <w:szCs w:val="28"/>
        </w:rPr>
        <w:t xml:space="preserve">езрезультатных расходов, утраты бюджетных средств не выявлено.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КСП ГО Серебряные Пруды предложено устранить нарушений на сумму </w:t>
      </w:r>
      <w:r>
        <w:rPr>
          <w:szCs w:val="28"/>
        </w:rPr>
        <w:t xml:space="preserve"> </w:t>
      </w:r>
      <w:r>
        <w:rPr>
          <w:szCs w:val="28"/>
        </w:rPr>
        <w:t xml:space="preserve">58,86</w:t>
      </w:r>
      <w:r>
        <w:rPr>
          <w:szCs w:val="28"/>
        </w:rPr>
        <w:t xml:space="preserve"> </w:t>
      </w:r>
      <w:r>
        <w:rPr>
          <w:szCs w:val="28"/>
        </w:rPr>
        <w:t xml:space="preserve">тысяч рублей. 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Устранено </w:t>
      </w:r>
      <w:r>
        <w:rPr>
          <w:szCs w:val="28"/>
        </w:rPr>
        <w:t xml:space="preserve">43</w:t>
      </w:r>
      <w:r>
        <w:rPr>
          <w:szCs w:val="28"/>
        </w:rPr>
        <w:t xml:space="preserve"> </w:t>
      </w:r>
      <w:r>
        <w:rPr>
          <w:szCs w:val="28"/>
        </w:rPr>
        <w:t xml:space="preserve">нарушени</w:t>
      </w:r>
      <w:r>
        <w:rPr>
          <w:szCs w:val="28"/>
        </w:rPr>
        <w:t xml:space="preserve">я</w:t>
      </w:r>
      <w:r>
        <w:rPr>
          <w:szCs w:val="28"/>
        </w:rPr>
        <w:t xml:space="preserve"> на </w:t>
      </w:r>
      <w:r>
        <w:rPr>
          <w:szCs w:val="28"/>
        </w:rPr>
        <w:t xml:space="preserve">58,86</w:t>
      </w:r>
      <w:r>
        <w:rPr>
          <w:szCs w:val="28"/>
        </w:rPr>
        <w:t xml:space="preserve"> </w:t>
      </w:r>
      <w:r>
        <w:rPr>
          <w:szCs w:val="28"/>
        </w:rPr>
        <w:t xml:space="preserve">тысяч рублей.</w:t>
      </w:r>
      <w:r/>
    </w:p>
    <w:p>
      <w:pPr>
        <w:pStyle w:val="830"/>
        <w:ind w:firstLine="709"/>
        <w:jc w:val="both"/>
        <w:spacing w:after="120"/>
        <w:rPr>
          <w:szCs w:val="28"/>
        </w:rPr>
      </w:pPr>
      <w:r>
        <w:rPr>
          <w:szCs w:val="28"/>
        </w:rPr>
        <w:t xml:space="preserve">Количество муниципальных правовых актов или их проектов, в которые предложено внести изменения либо принять – </w:t>
      </w:r>
      <w:r>
        <w:rPr>
          <w:szCs w:val="28"/>
        </w:rPr>
        <w:t xml:space="preserve">0</w:t>
      </w:r>
      <w:r>
        <w:rPr>
          <w:szCs w:val="28"/>
        </w:rPr>
        <w:t xml:space="preserve">.</w:t>
      </w:r>
      <w:r/>
    </w:p>
    <w:p>
      <w:pPr>
        <w:pStyle w:val="830"/>
        <w:ind w:firstLine="709"/>
        <w:jc w:val="both"/>
        <w:spacing w:after="120"/>
        <w:rPr>
          <w:szCs w:val="28"/>
        </w:rPr>
      </w:pPr>
      <w:r>
        <w:rPr>
          <w:szCs w:val="28"/>
        </w:rPr>
        <w:t xml:space="preserve">Внесено изменений по предложениям КСП ГО Серебряные Пруды в </w:t>
      </w:r>
      <w:r>
        <w:rPr>
          <w:szCs w:val="28"/>
        </w:rPr>
        <w:t xml:space="preserve">1</w:t>
      </w:r>
      <w:r>
        <w:rPr>
          <w:szCs w:val="28"/>
        </w:rPr>
        <w:t xml:space="preserve"> документ</w:t>
      </w:r>
      <w:r>
        <w:rPr>
          <w:szCs w:val="28"/>
        </w:rPr>
        <w:t xml:space="preserve">, </w:t>
      </w:r>
      <w:r>
        <w:rPr>
          <w:szCs w:val="28"/>
        </w:rPr>
        <w:t xml:space="preserve">который</w:t>
      </w:r>
      <w:r>
        <w:rPr>
          <w:szCs w:val="28"/>
        </w:rPr>
        <w:t xml:space="preserve"> остался на контроле на 01.01.</w:t>
      </w:r>
      <w:r>
        <w:rPr>
          <w:szCs w:val="28"/>
        </w:rPr>
        <w:t xml:space="preserve">2023</w:t>
      </w:r>
      <w:r>
        <w:rPr>
          <w:szCs w:val="28"/>
        </w:rPr>
        <w:t xml:space="preserve">.</w:t>
      </w:r>
      <w:r/>
    </w:p>
    <w:p>
      <w:pPr>
        <w:pStyle w:val="830"/>
        <w:ind w:firstLine="709"/>
        <w:jc w:val="both"/>
        <w:spacing w:after="120"/>
        <w:rPr>
          <w:szCs w:val="28"/>
        </w:rPr>
      </w:pPr>
      <w:r>
        <w:rPr>
          <w:szCs w:val="28"/>
        </w:rPr>
        <w:t xml:space="preserve">Для принятия мер по устранению выявленных нарушений при использовании финансовых ресурсов и муниципальной собственности в </w:t>
      </w:r>
      <w:r>
        <w:rPr>
          <w:szCs w:val="28"/>
        </w:rPr>
        <w:t xml:space="preserve">2023</w:t>
      </w:r>
      <w:r>
        <w:rPr>
          <w:szCs w:val="28"/>
        </w:rPr>
        <w:t xml:space="preserve"> году должностным лицам проверяемых объектов направлено: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7</w:t>
      </w:r>
      <w:r>
        <w:rPr>
          <w:szCs w:val="28"/>
        </w:rPr>
        <w:t xml:space="preserve"> – Предст</w:t>
      </w:r>
      <w:r>
        <w:rPr>
          <w:szCs w:val="28"/>
        </w:rPr>
        <w:t xml:space="preserve">авлени</w:t>
      </w:r>
      <w:r>
        <w:rPr>
          <w:szCs w:val="28"/>
        </w:rPr>
        <w:t xml:space="preserve">й</w:t>
      </w:r>
      <w:r>
        <w:rPr>
          <w:szCs w:val="28"/>
        </w:rPr>
        <w:t xml:space="preserve">, выполнено – </w:t>
      </w:r>
      <w:r>
        <w:rPr>
          <w:szCs w:val="28"/>
        </w:rPr>
        <w:t xml:space="preserve">6</w:t>
      </w:r>
      <w:r>
        <w:rPr>
          <w:szCs w:val="28"/>
        </w:rPr>
        <w:t xml:space="preserve">. Количество предложений в Представлениях – </w:t>
      </w:r>
      <w:r>
        <w:rPr>
          <w:szCs w:val="28"/>
        </w:rPr>
        <w:t xml:space="preserve">40</w:t>
      </w:r>
      <w:r>
        <w:rPr>
          <w:szCs w:val="28"/>
        </w:rPr>
        <w:t xml:space="preserve">, полностью выполнено –</w:t>
      </w:r>
      <w:r>
        <w:rPr>
          <w:szCs w:val="28"/>
        </w:rPr>
        <w:t xml:space="preserve">34</w:t>
      </w:r>
      <w:r>
        <w:rPr>
          <w:szCs w:val="28"/>
        </w:rPr>
        <w:t xml:space="preserve">, снято с контроля по объе</w:t>
      </w:r>
      <w:r>
        <w:rPr>
          <w:szCs w:val="28"/>
        </w:rPr>
        <w:t xml:space="preserve">ктивным причинам – </w:t>
      </w:r>
      <w:r>
        <w:rPr>
          <w:szCs w:val="28"/>
        </w:rPr>
        <w:t xml:space="preserve">1</w:t>
      </w:r>
      <w:r>
        <w:rPr>
          <w:szCs w:val="28"/>
        </w:rPr>
        <w:t xml:space="preserve">, остались на контроле на 01.01.202</w:t>
      </w:r>
      <w:r>
        <w:rPr>
          <w:szCs w:val="28"/>
        </w:rPr>
        <w:t xml:space="preserve">4</w:t>
      </w:r>
      <w:r>
        <w:rPr>
          <w:szCs w:val="28"/>
        </w:rPr>
        <w:t xml:space="preserve"> – </w:t>
      </w:r>
      <w:r>
        <w:rPr>
          <w:szCs w:val="28"/>
        </w:rPr>
        <w:t xml:space="preserve">5</w:t>
      </w:r>
      <w:r>
        <w:rPr>
          <w:szCs w:val="28"/>
        </w:rPr>
        <w:t xml:space="preserve">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Предписания не направлялись.</w:t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По контрольным мероприятиям, проведенным по поручениям Совета депутатов, в соответствии с поступившими поручениями, Прокурора района Прокуратуры Серебряно-Прудского района Московской области, материалы </w:t>
      </w:r>
      <w:r>
        <w:rPr>
          <w:szCs w:val="28"/>
        </w:rPr>
        <w:t xml:space="preserve">направлены в Прокуратуру Серебряно-Прудского района Московской области</w:t>
      </w:r>
      <w:r>
        <w:rPr>
          <w:szCs w:val="28"/>
        </w:rPr>
        <w:t xml:space="preserve"> для принятия мер реагирования</w:t>
      </w:r>
      <w:r>
        <w:rPr>
          <w:szCs w:val="28"/>
        </w:rPr>
        <w:t xml:space="preserve">.</w:t>
      </w:r>
      <w:r>
        <w:rPr>
          <w:szCs w:val="28"/>
        </w:rPr>
        <w:t xml:space="preserve"> По результатам рассмотрения материалов объектам контроля было направлено </w:t>
      </w:r>
      <w:r>
        <w:rPr>
          <w:szCs w:val="28"/>
        </w:rPr>
        <w:t xml:space="preserve">13</w:t>
      </w:r>
      <w:r>
        <w:rPr>
          <w:szCs w:val="28"/>
        </w:rPr>
        <w:t xml:space="preserve"> Представлений</w:t>
      </w:r>
      <w:r>
        <w:rPr>
          <w:szCs w:val="28"/>
        </w:rPr>
        <w:t xml:space="preserve">. Составлено </w:t>
      </w:r>
      <w:r>
        <w:rPr>
          <w:szCs w:val="28"/>
        </w:rPr>
        <w:t xml:space="preserve">1 Постановление</w:t>
      </w:r>
      <w:r>
        <w:rPr>
          <w:szCs w:val="28"/>
        </w:rPr>
        <w:t xml:space="preserve"> о возбуждении дела об административном правонарушении.</w:t>
      </w:r>
      <w:r>
        <w:rPr>
          <w:szCs w:val="28"/>
        </w:rPr>
      </w:r>
      <w:r/>
    </w:p>
    <w:p>
      <w:pPr>
        <w:pStyle w:val="830"/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В соответствии с Кодексом Российской Федерации об административных правонарушениях</w:t>
      </w:r>
      <w:r>
        <w:rPr>
          <w:szCs w:val="28"/>
        </w:rPr>
        <w:t xml:space="preserve">,</w:t>
      </w:r>
      <w:r>
        <w:rPr>
          <w:szCs w:val="28"/>
        </w:rPr>
        <w:t xml:space="preserve"> в отчетн</w:t>
      </w:r>
      <w:r>
        <w:rPr>
          <w:szCs w:val="28"/>
        </w:rPr>
        <w:t xml:space="preserve">ом году в отношении лиц</w:t>
      </w:r>
      <w:r>
        <w:rPr>
          <w:szCs w:val="28"/>
        </w:rPr>
        <w:t xml:space="preserve">, допустивш</w:t>
      </w:r>
      <w:r>
        <w:rPr>
          <w:szCs w:val="28"/>
        </w:rPr>
        <w:t xml:space="preserve">их соответствующие нарушения</w:t>
      </w:r>
      <w:r>
        <w:rPr>
          <w:szCs w:val="28"/>
        </w:rPr>
        <w:t xml:space="preserve">, должностным лицом КСП ГО Серебряные Пруды составлен</w:t>
      </w:r>
      <w:r>
        <w:rPr>
          <w:szCs w:val="28"/>
        </w:rPr>
        <w:t xml:space="preserve">о</w:t>
      </w:r>
      <w:r>
        <w:rPr>
          <w:szCs w:val="28"/>
        </w:rPr>
        <w:t xml:space="preserve"> </w:t>
      </w:r>
      <w:r>
        <w:rPr>
          <w:szCs w:val="28"/>
        </w:rPr>
        <w:t xml:space="preserve">2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протокол</w:t>
      </w:r>
      <w:r>
        <w:rPr>
          <w:szCs w:val="28"/>
        </w:rPr>
        <w:t xml:space="preserve">а</w:t>
      </w:r>
      <w:r>
        <w:rPr>
          <w:szCs w:val="28"/>
        </w:rPr>
        <w:t xml:space="preserve"> об административных правонарушениях. По </w:t>
      </w:r>
      <w:r>
        <w:rPr>
          <w:szCs w:val="28"/>
        </w:rPr>
        <w:t xml:space="preserve">2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протоколам</w:t>
      </w:r>
      <w:r>
        <w:rPr>
          <w:szCs w:val="28"/>
        </w:rPr>
        <w:t xml:space="preserve"> вынесено решение о привлечении виновн</w:t>
      </w:r>
      <w:r>
        <w:rPr>
          <w:szCs w:val="28"/>
        </w:rPr>
        <w:t xml:space="preserve">ых</w:t>
      </w:r>
      <w:r>
        <w:rPr>
          <w:szCs w:val="28"/>
        </w:rPr>
        <w:t xml:space="preserve"> к административной ответственности.</w:t>
      </w:r>
      <w:r/>
    </w:p>
    <w:p>
      <w:pPr>
        <w:pStyle w:val="830"/>
        <w:ind w:firstLine="709"/>
        <w:jc w:val="both"/>
        <w:spacing w:before="60"/>
        <w:rPr>
          <w:szCs w:val="28"/>
        </w:rPr>
      </w:pPr>
      <w:r>
        <w:rPr>
          <w:szCs w:val="28"/>
        </w:rPr>
        <w:t xml:space="preserve">Количество используемых контрольно-счетным органом муниципального образования стандартов внешнего муницип</w:t>
      </w:r>
      <w:r>
        <w:rPr>
          <w:szCs w:val="28"/>
        </w:rPr>
        <w:t xml:space="preserve">ального финансового контроля – 21</w:t>
      </w:r>
      <w:r>
        <w:rPr>
          <w:szCs w:val="28"/>
        </w:rPr>
        <w:t xml:space="preserve">, стандартов организации деятельности – 2, из них </w:t>
      </w:r>
      <w:r>
        <w:rPr>
          <w:szCs w:val="28"/>
        </w:rPr>
        <w:t xml:space="preserve">16</w:t>
      </w:r>
      <w:r>
        <w:rPr>
          <w:szCs w:val="28"/>
        </w:rPr>
        <w:t xml:space="preserve"> приведены в соответствие с типовыми стандартами.</w:t>
      </w:r>
      <w:r/>
    </w:p>
    <w:p>
      <w:pPr>
        <w:pStyle w:val="830"/>
        <w:ind w:firstLine="709"/>
        <w:jc w:val="both"/>
        <w:spacing w:before="60"/>
        <w:rPr>
          <w:szCs w:val="28"/>
        </w:rPr>
      </w:pPr>
      <w:r>
        <w:rPr>
          <w:szCs w:val="28"/>
        </w:rPr>
        <w:t xml:space="preserve">Ежеквартально в Контрольно-счетную палату Московской области представлялись отчет</w:t>
      </w:r>
      <w:r>
        <w:rPr>
          <w:szCs w:val="28"/>
        </w:rPr>
        <w:t xml:space="preserve">ы по формам: «Основные показатели деятельности Контрольно-счетной палаты городского округа Серебряные Пруды Московской области за период» и «Сведения о Контрольно-счетном органе муниципального образования Московской области» по состоянию на отчетное число.</w:t>
      </w:r>
      <w:r/>
    </w:p>
    <w:p>
      <w:pPr>
        <w:pStyle w:val="830"/>
        <w:ind w:firstLine="709"/>
        <w:jc w:val="both"/>
        <w:spacing w:before="60"/>
        <w:rPr>
          <w:szCs w:val="28"/>
        </w:rPr>
      </w:pPr>
      <w:r>
        <w:rPr>
          <w:szCs w:val="28"/>
        </w:rPr>
        <w:t xml:space="preserve">Количество информационных сообщений о деятельности КСП ГО Серебряные Пруды размещенных на официальном сайте КСП ГО Серебряные Пруды</w:t>
      </w:r>
      <w:r>
        <w:rPr>
          <w:szCs w:val="28"/>
        </w:rPr>
        <w:t xml:space="preserve"> и портале КСО</w:t>
      </w:r>
      <w:r>
        <w:rPr>
          <w:szCs w:val="28"/>
        </w:rPr>
        <w:t xml:space="preserve"> – </w:t>
      </w:r>
      <w:r>
        <w:rPr>
          <w:szCs w:val="28"/>
        </w:rPr>
        <w:t xml:space="preserve">94</w:t>
      </w:r>
      <w:r>
        <w:rPr>
          <w:szCs w:val="28"/>
        </w:rPr>
        <w:t xml:space="preserve">.</w:t>
      </w:r>
      <w:r/>
    </w:p>
    <w:p>
      <w:pPr>
        <w:pStyle w:val="830"/>
        <w:ind w:firstLine="709"/>
        <w:jc w:val="both"/>
        <w:spacing w:before="60"/>
        <w:rPr>
          <w:szCs w:val="28"/>
        </w:rPr>
      </w:pPr>
      <w:r>
        <w:rPr>
          <w:szCs w:val="28"/>
        </w:rPr>
        <w:t xml:space="preserve">Количество заседаний Совета депутатов, в которых представители КСП ГО Серебряные Пруды приняли участие – </w:t>
      </w:r>
      <w:r>
        <w:rPr>
          <w:szCs w:val="28"/>
        </w:rPr>
        <w:t xml:space="preserve">8</w:t>
      </w:r>
      <w:r>
        <w:rPr>
          <w:szCs w:val="28"/>
        </w:rPr>
        <w:t xml:space="preserve">. Также сотрудники КСП ГО Серебряные Пруды принимали участие в заседаниях (семинарах) Совета контрольно-счетных органов при Контрольно-счетной палате Московской области.</w:t>
      </w:r>
      <w:r/>
    </w:p>
    <w:p>
      <w:pPr>
        <w:pStyle w:val="830"/>
        <w:ind w:firstLine="709"/>
        <w:jc w:val="both"/>
        <w:spacing w:before="60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2023</w:t>
      </w:r>
      <w:r>
        <w:rPr>
          <w:szCs w:val="28"/>
        </w:rPr>
        <w:t xml:space="preserve"> году </w:t>
      </w:r>
      <w:r>
        <w:rPr>
          <w:szCs w:val="28"/>
        </w:rPr>
        <w:t xml:space="preserve">2 </w:t>
      </w:r>
      <w:r>
        <w:rPr>
          <w:szCs w:val="28"/>
        </w:rPr>
        <w:t xml:space="preserve">сотрудник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КСП ГО Серебряные Пруды </w:t>
      </w:r>
      <w:r>
        <w:rPr>
          <w:szCs w:val="28"/>
        </w:rPr>
        <w:t xml:space="preserve">прошли </w:t>
      </w:r>
      <w:r>
        <w:rPr>
          <w:szCs w:val="28"/>
        </w:rPr>
        <w:t xml:space="preserve">обучен</w:t>
      </w:r>
      <w:r>
        <w:rPr>
          <w:szCs w:val="28"/>
        </w:rPr>
        <w:t xml:space="preserve">ие по программе переподготовки.</w:t>
      </w:r>
      <w:r>
        <w:rPr>
          <w:szCs w:val="28"/>
        </w:rPr>
        <w:t xml:space="preserve"> </w:t>
      </w:r>
      <w:r/>
    </w:p>
    <w:p>
      <w:pPr>
        <w:pStyle w:val="830"/>
        <w:ind w:firstLine="709"/>
        <w:jc w:val="both"/>
        <w:spacing w:before="60"/>
        <w:rPr>
          <w:szCs w:val="28"/>
        </w:rPr>
      </w:pPr>
      <w:r>
        <w:rPr>
          <w:szCs w:val="28"/>
        </w:rPr>
        <w:t xml:space="preserve">Штатная и фактическая численность на конец года – 3 ед., в том числе:</w:t>
      </w:r>
      <w:r/>
    </w:p>
    <w:p>
      <w:pPr>
        <w:pStyle w:val="830"/>
        <w:ind w:firstLine="709"/>
        <w:jc w:val="both"/>
        <w:spacing w:before="60"/>
        <w:rPr>
          <w:szCs w:val="28"/>
        </w:rPr>
      </w:pPr>
      <w:r>
        <w:rPr>
          <w:szCs w:val="28"/>
        </w:rPr>
        <w:t xml:space="preserve">Основной состав – 2 ед.: </w:t>
      </w:r>
      <w:r/>
    </w:p>
    <w:p>
      <w:pPr>
        <w:pStyle w:val="830"/>
        <w:numPr>
          <w:ilvl w:val="0"/>
          <w:numId w:val="8"/>
        </w:numPr>
        <w:ind w:left="709" w:hanging="425"/>
        <w:jc w:val="both"/>
        <w:spacing w:before="60"/>
        <w:rPr>
          <w:szCs w:val="28"/>
        </w:rPr>
      </w:pPr>
      <w:r>
        <w:rPr>
          <w:szCs w:val="28"/>
        </w:rPr>
        <w:t xml:space="preserve">Председатель К</w:t>
      </w:r>
      <w:r>
        <w:rPr>
          <w:szCs w:val="28"/>
        </w:rPr>
        <w:t xml:space="preserve">онтрольно-счетной палаты городского округа – муниципальная должность.</w:t>
      </w:r>
      <w:r/>
    </w:p>
    <w:p>
      <w:pPr>
        <w:pStyle w:val="830"/>
        <w:numPr>
          <w:ilvl w:val="0"/>
          <w:numId w:val="8"/>
        </w:numPr>
        <w:ind w:left="709" w:hanging="425"/>
        <w:jc w:val="both"/>
        <w:spacing w:before="60"/>
        <w:rPr>
          <w:szCs w:val="28"/>
        </w:rPr>
      </w:pPr>
      <w:r>
        <w:rPr>
          <w:szCs w:val="28"/>
        </w:rPr>
        <w:t xml:space="preserve">Заместитель председателя</w:t>
      </w:r>
      <w:r>
        <w:rPr>
          <w:szCs w:val="28"/>
        </w:rPr>
        <w:t xml:space="preserve"> К</w:t>
      </w:r>
      <w:r>
        <w:rPr>
          <w:szCs w:val="28"/>
        </w:rPr>
        <w:t xml:space="preserve">онтрольно-счетной палаты – </w:t>
      </w:r>
      <w:r>
        <w:rPr>
          <w:szCs w:val="28"/>
        </w:rPr>
        <w:t xml:space="preserve">муниципальная должность</w:t>
      </w:r>
      <w:r>
        <w:rPr>
          <w:szCs w:val="28"/>
        </w:rPr>
        <w:t xml:space="preserve">.</w:t>
      </w:r>
      <w:r/>
    </w:p>
    <w:p>
      <w:pPr>
        <w:pStyle w:val="830"/>
        <w:ind w:firstLine="709"/>
        <w:jc w:val="both"/>
        <w:spacing w:before="60"/>
        <w:rPr>
          <w:szCs w:val="28"/>
        </w:rPr>
      </w:pPr>
      <w:r>
        <w:rPr>
          <w:szCs w:val="28"/>
        </w:rPr>
        <w:t xml:space="preserve">Аппарат – 1 ед. иных штатных работников, не относящихся к муниципальным должностям и должностям муниципальной службы: </w:t>
      </w:r>
      <w:r/>
    </w:p>
    <w:p>
      <w:pPr>
        <w:pStyle w:val="830"/>
        <w:numPr>
          <w:ilvl w:val="0"/>
          <w:numId w:val="8"/>
        </w:numPr>
        <w:ind w:left="709" w:hanging="425"/>
        <w:jc w:val="both"/>
        <w:spacing w:before="60"/>
        <w:rPr>
          <w:szCs w:val="28"/>
        </w:rPr>
      </w:pPr>
      <w:r>
        <w:rPr>
          <w:szCs w:val="28"/>
        </w:rPr>
        <w:t xml:space="preserve">Главный эксперт, обеспечивающий деятельность контрольно-счетной палаты в области бухгалтерского учета и бухгалтерской (финансовой) отчетности, налогового учета, статистической отчетности,</w:t>
      </w:r>
      <w:r>
        <w:rPr>
          <w:szCs w:val="28"/>
        </w:rPr>
        <w:t xml:space="preserve"> бюджетного учета и бюджетной отчетности, обеспечения деятельности в сфере закупок товаров, работ, услуг, обеспечения деятельности в области кадрового учета и кадрового делопроизводства, обеспечения деятельности в области делопроизводства и архивного дела.</w:t>
      </w:r>
      <w:r/>
    </w:p>
    <w:p>
      <w:pPr>
        <w:pStyle w:val="830"/>
        <w:ind w:left="709"/>
        <w:jc w:val="both"/>
        <w:spacing w:before="60"/>
        <w:rPr>
          <w:szCs w:val="28"/>
        </w:rPr>
      </w:pPr>
      <w:r>
        <w:rPr>
          <w:szCs w:val="28"/>
        </w:rPr>
        <w:t xml:space="preserve">К Отчету прилагаются три таблицы:</w:t>
      </w:r>
      <w:r/>
    </w:p>
    <w:p>
      <w:pPr>
        <w:pStyle w:val="830"/>
        <w:numPr>
          <w:ilvl w:val="0"/>
          <w:numId w:val="9"/>
        </w:numPr>
        <w:ind w:left="709" w:hanging="567"/>
        <w:jc w:val="both"/>
        <w:spacing w:before="60"/>
        <w:rPr>
          <w:szCs w:val="28"/>
        </w:rPr>
      </w:pPr>
      <w:r>
        <w:rPr>
          <w:szCs w:val="28"/>
        </w:rPr>
        <w:t xml:space="preserve">Сведения о результатах контрольных и экспертно-аналитических мероприятий.</w:t>
      </w:r>
      <w:r/>
    </w:p>
    <w:p>
      <w:pPr>
        <w:pStyle w:val="830"/>
        <w:numPr>
          <w:ilvl w:val="0"/>
          <w:numId w:val="9"/>
        </w:numPr>
        <w:ind w:left="709" w:hanging="567"/>
        <w:jc w:val="both"/>
        <w:spacing w:before="60"/>
        <w:rPr>
          <w:szCs w:val="28"/>
        </w:rPr>
      </w:pPr>
      <w:r>
        <w:rPr>
          <w:szCs w:val="28"/>
        </w:rPr>
        <w:t xml:space="preserve">Сведения по нарушениям, выявленным в ходе контрольных мероприятий, в соответствии с Классификатором нарушений, выявляемых в ходе внешнего государственного аудита (контроля).</w:t>
      </w:r>
      <w:r/>
    </w:p>
    <w:p>
      <w:pPr>
        <w:pStyle w:val="830"/>
        <w:numPr>
          <w:ilvl w:val="0"/>
          <w:numId w:val="9"/>
        </w:numPr>
        <w:ind w:left="709" w:hanging="567"/>
        <w:jc w:val="both"/>
        <w:spacing w:before="60"/>
        <w:rPr>
          <w:szCs w:val="28"/>
        </w:rPr>
      </w:pPr>
      <w:r>
        <w:rPr>
          <w:szCs w:val="28"/>
        </w:rPr>
        <w:t xml:space="preserve">Сведения по нарушениям, выявленным в ходе экспертно-аналитических мероприятий, в соответствии с Классификатором нарушений, выявляемых в ходе внешнего государственного аудита (контроля).</w:t>
      </w:r>
      <w:r/>
    </w:p>
    <w:p>
      <w:pPr>
        <w:pStyle w:val="830"/>
        <w:ind w:left="709"/>
        <w:jc w:val="both"/>
        <w:spacing w:before="60"/>
        <w:rPr>
          <w:sz w:val="16"/>
          <w:szCs w:val="28"/>
        </w:rPr>
      </w:pPr>
      <w:r>
        <w:rPr>
          <w:color w:val="002060"/>
          <w:szCs w:val="28"/>
        </w:rPr>
        <w:br w:type="page" w:clear="all"/>
      </w:r>
      <w:r>
        <w:rPr>
          <w:sz w:val="16"/>
          <w:szCs w:val="28"/>
        </w:rPr>
      </w:r>
      <w:r/>
    </w:p>
    <w:tbl>
      <w:tblPr>
        <w:tblW w:w="9473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93"/>
        <w:gridCol w:w="1579"/>
        <w:gridCol w:w="1746"/>
        <w:gridCol w:w="1455"/>
      </w:tblGrid>
      <w:tr>
        <w:trPr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93" w:type="dxa"/>
            <w:vAlign w:val="bottom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780" w:type="dxa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Приложение №1</w:t>
            </w:r>
            <w:r/>
          </w:p>
        </w:tc>
      </w:tr>
      <w:tr>
        <w:trPr>
          <w:trHeight w:val="80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93" w:type="dxa"/>
            <w:vAlign w:val="bottom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780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к Отчету о деятельности Контрольно-счетной палаты городского округа Серебряные 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Пруды Московской области за 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2023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 год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93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579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746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55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1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7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 xml:space="preserve">Сведения о результатах контрольных и экспертно-аналитических мероприятий</w:t>
            </w:r>
            <w:r/>
          </w:p>
        </w:tc>
      </w:tr>
      <w:tr>
        <w:trPr>
          <w:cantSplit/>
          <w:trHeight w:val="26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Значение показателя</w:t>
            </w:r>
            <w:r/>
          </w:p>
        </w:tc>
      </w:tr>
      <w:tr>
        <w:trPr>
          <w:cantSplit/>
          <w:trHeight w:val="74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Контрольные мероприятия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Экспертно-аналитические мероприятия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ИТОГО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lang w:eastAsia="ru-RU"/>
              </w:rPr>
              <w:t xml:space="preserve">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lang w:eastAsia="ru-RU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lang w:eastAsia="ru-RU"/>
              </w:rPr>
              <w:t xml:space="preserve">4</w:t>
            </w:r>
            <w:r/>
          </w:p>
        </w:tc>
      </w:tr>
      <w:tr>
        <w:trPr>
          <w:trHeight w:val="705"/>
        </w:trPr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Нарушения при формировании и исполнении бюджетов  (1 группа нарушений по Классификатору)  </w:t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17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22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количество выявленных нарушений, всего (ед.), из них: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17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22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6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. . . . . . . . количество выявленных нарушений по нецелевому использованию бюджетных средств при формировании и исполнении бюджетов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сумма выявленных нарушений, всего (тыс. рублей), из них: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15 358,41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15 358,41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7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. . . . . . . . сумма выявленных нарушений по нецелевому использованию бюджетных средств при формировании и исполнении бюджетов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765"/>
        </w:trPr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Нарушение ведения бухгалтерского учета, составления и представления бухгалтерской (финансовой) отчетности (2 группа нарушений по Классификатору)</w:t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38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45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количество выявленных нарушений, всего (ед.)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38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45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сумма выявленных нарушений, всего (тыс. рублей)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19 598,23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19 598,23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960"/>
        </w:trPr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Нарушения законодательства в сфере управления и  распоряжения  государственной (муниципальной) собственностью (3 группа нарушений по Классификатору)</w:t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количество выявленных нарушений, всего (ед.)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сумма выявленных нарушений, всего (тыс. рублей)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975"/>
        </w:trPr>
        <w:tc>
          <w:tcPr>
            <w:shd w:val="clear" w:color="000000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Нарушения при осуществлении государственных (муниципальных) закупок и закупок отдельными видами юридических лиц (4 группа нарушений по Классификатору)</w:t>
            </w:r>
            <w:r/>
          </w:p>
        </w:tc>
        <w:tc>
          <w:tcPr>
            <w:shd w:val="clear" w:color="000000" w:fill="ffffcc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количество выявленных нарушений, всего (ед.)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сумма выявленных нарушений, всего (тыс. рублей)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9 893,4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9 893,4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50"/>
        </w:trPr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Иные нарушения  (7 группа нарушений по Классификатору)</w:t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количество выявленных нарушений, всего (ед.)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сумма выявленных нарушений, всего (тыс. рублей)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color w:val="1f497d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color w:val="1f497d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color w:val="1f497d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cantSplit/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Значение показателя</w:t>
            </w:r>
            <w:r/>
          </w:p>
        </w:tc>
      </w:tr>
      <w:tr>
        <w:trPr>
          <w:cantSplit/>
          <w:trHeight w:val="7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Контрольные мероприятия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Экспертно-аналитические мероприятия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ИТОГО</w:t>
            </w:r>
            <w:r/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color w:val="1f497d"/>
                <w:sz w:val="18"/>
                <w:lang w:eastAsia="ru-RU"/>
              </w:rPr>
            </w:pPr>
            <w:r>
              <w:rPr>
                <w:rFonts w:ascii="Arial" w:hAnsi="Arial" w:eastAsia="Times New Roman" w:cs="Arial"/>
                <w:color w:val="1f497d"/>
                <w:sz w:val="18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color w:val="1f497d"/>
                <w:sz w:val="18"/>
                <w:lang w:eastAsia="ru-RU"/>
              </w:rPr>
            </w:pPr>
            <w:r>
              <w:rPr>
                <w:rFonts w:ascii="Arial" w:hAnsi="Arial" w:eastAsia="Times New Roman" w:cs="Arial"/>
                <w:color w:val="1f497d"/>
                <w:sz w:val="18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color w:val="1f497d"/>
                <w:sz w:val="18"/>
                <w:lang w:eastAsia="ru-RU"/>
              </w:rPr>
            </w:pPr>
            <w:r>
              <w:rPr>
                <w:rFonts w:ascii="Arial" w:hAnsi="Arial" w:eastAsia="Times New Roman" w:cs="Arial"/>
                <w:color w:val="1f497d"/>
                <w:sz w:val="18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color w:val="1f497d"/>
                <w:sz w:val="18"/>
                <w:lang w:eastAsia="ru-RU"/>
              </w:rPr>
            </w:pPr>
            <w:r>
              <w:rPr>
                <w:rFonts w:ascii="Arial" w:hAnsi="Arial" w:eastAsia="Times New Roman" w:cs="Arial"/>
                <w:color w:val="1f497d"/>
                <w:sz w:val="18"/>
                <w:lang w:eastAsia="ru-RU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 xml:space="preserve">Общие сведения о выявленных нарушенииях в контрольных и экспертно-аналитических мероприятиях (по Классификатору)</w:t>
            </w:r>
            <w:r/>
          </w:p>
        </w:tc>
        <w:tc>
          <w:tcPr>
            <w:shd w:val="clear" w:color="000000" w:fill="ffffcc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 xml:space="preserve">113</w:t>
            </w: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 xml:space="preserve">12</w:t>
            </w: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</w:r>
            <w:r/>
          </w:p>
        </w:tc>
        <w:tc>
          <w:tcPr>
            <w:shd w:val="clear" w:color="000000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  <w:t xml:space="preserve">125</w:t>
            </w:r>
            <w:r>
              <w:rPr>
                <w:rFonts w:ascii="Arial" w:hAnsi="Arial" w:eastAsia="Times New Roman" w:cs="Arial"/>
                <w:b/>
                <w:bCs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количество выявленных нарушений, всего (ед.)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113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12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125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4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сумма выявленных нарушений, всего (тыс. рублей)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44 850,0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44 850,0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Из них нецелевое использование бюджетных средств, выявленное в ходе контрольных и экспертно-аналитических мероприятий 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количество выявленных нарушений, всего (ед.)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сумма выявленных нарушений, всего (тыс. рублей)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9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Ущерб муниципальному образованию и (или) Московской области в части бюджетных средств, выявленный в ходе контрольных и экспертно-аналитических мероприятий, всего (тыс. рублей), в том числе: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9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58,86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58,86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недопоступление бюджетных средств, администрируемых местными органами самоуправления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79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избыточные затраты бюджетных средств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58,86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58,86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безрезультатные расходы бюджетных средств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утрата бюджетных средств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</w:tr>
      <w:tr>
        <w:trPr>
          <w:trHeight w:val="6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Неэффективное использование бюджетных средств, выявленное в ходе контрольных и экспертно-аналитических мероприятий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количество выявленных нарушений, всего (ед.)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сумма выявленных нарушений, всего (тыс. рублей), в том числе: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58,86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58,86</w:t>
            </w:r>
            <w:r>
              <w:rPr>
                <w:rFonts w:ascii="Arial" w:hAnsi="Arial" w:eastAsia="Times New Roman" w:cs="Arial"/>
                <w:sz w:val="20"/>
                <w:lang w:eastAsia="ru-RU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. . . . . . . . неэффективные затраты бюджетных средств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</w:tr>
      <w:tr>
        <w:trPr>
          <w:trHeight w:val="6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469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. . . . . . . . . . . . . . . . отвлечение, неиспользование бюджетных средств по назначению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1579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none" w:color="FFFFFF" w:sz="255" w:space="0"/>
            </w:tcBorders>
            <w:tcW w:w="174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1455" w:type="dxa"/>
            <w:vAlign w:val="center"/>
            <w:textDirection w:val="lrTb"/>
            <w:noWrap/>
          </w:tcPr>
          <w:p>
            <w:pPr>
              <w:pStyle w:val="830"/>
              <w:jc w:val="right"/>
              <w:spacing w:line="240" w:lineRule="auto"/>
              <w:rPr>
                <w:rFonts w:ascii="Arial" w:hAnsi="Arial" w:eastAsia="Times New Roman" w:cs="Arial"/>
                <w:sz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lang w:eastAsia="ru-RU"/>
              </w:rPr>
              <w:t xml:space="preserve"> </w:t>
            </w:r>
            <w:r/>
          </w:p>
        </w:tc>
      </w:tr>
    </w:tbl>
    <w:p>
      <w:pPr>
        <w:pStyle w:val="830"/>
        <w:ind w:left="709"/>
        <w:jc w:val="both"/>
        <w:spacing w:before="60"/>
        <w:rPr>
          <w:color w:val="1f497d"/>
          <w:szCs w:val="28"/>
        </w:rPr>
      </w:pPr>
      <w:r>
        <w:rPr>
          <w:color w:val="1f497d"/>
          <w:szCs w:val="28"/>
        </w:rPr>
      </w:r>
      <w:r/>
    </w:p>
    <w:p>
      <w:pPr>
        <w:pStyle w:val="830"/>
        <w:ind w:left="709"/>
        <w:jc w:val="both"/>
        <w:spacing w:before="60"/>
        <w:rPr>
          <w:color w:val="1f497d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418" w:left="1134" w:header="709" w:footer="709" w:gutter="0"/>
          <w:cols w:num="1" w:sep="0" w:space="708" w:equalWidth="1"/>
          <w:docGrid w:linePitch="360"/>
        </w:sectPr>
      </w:pPr>
      <w:r>
        <w:rPr>
          <w:color w:val="1f497d"/>
          <w:szCs w:val="28"/>
        </w:rPr>
      </w:r>
      <w:r/>
    </w:p>
    <w:p>
      <w:pPr>
        <w:pStyle w:val="830"/>
        <w:ind w:left="709"/>
        <w:jc w:val="both"/>
        <w:spacing w:before="6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</w:r>
      <w:r/>
    </w:p>
    <w:tbl>
      <w:tblPr>
        <w:tblW w:w="0" w:type="auto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8908"/>
        <w:gridCol w:w="4536"/>
      </w:tblGrid>
      <w:tr>
        <w:trPr>
          <w:trHeight w:val="45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22" w:type="auto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22" w:type="auto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22" w:type="auto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22" w:type="auto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908" w:type="dxa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536" w:type="dxa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Приложение №2</w:t>
            </w:r>
            <w:r/>
          </w:p>
        </w:tc>
      </w:tr>
      <w:tr>
        <w:trPr>
          <w:trHeight w:val="1005"/>
        </w:trPr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222" w:type="auto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222" w:type="auto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222" w:type="auto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222" w:type="auto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8908" w:type="dxa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 Отчету о деятельности Контрольно-счетной палаты городского округа Серебряные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Пруды</w:t>
              <w:br w:type="textWrapping" w:clear="all"/>
              <w:t xml:space="preserve">Московской области за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год</w:t>
            </w:r>
            <w:r/>
          </w:p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7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3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Сведения по нарушениям, выявленным в ходе контрольных мероприятий, </w:t>
              <w:br w:type="textWrapping" w:clear="all"/>
              <w:t xml:space="preserve">в соответствии с Классификатором нарушений, выявляемых в ходе внешнего государственного аудита (контроля)</w:t>
            </w:r>
            <w:r/>
          </w:p>
        </w:tc>
      </w:tr>
    </w:tbl>
    <w:p>
      <w:pPr>
        <w:pStyle w:val="830"/>
        <w:ind w:left="709"/>
        <w:jc w:val="both"/>
        <w:spacing w:before="60"/>
        <w:rPr>
          <w:szCs w:val="28"/>
        </w:rPr>
      </w:pPr>
      <w:r>
        <w:rPr>
          <w:szCs w:val="28"/>
        </w:rPr>
      </w:r>
      <w:r/>
    </w:p>
    <w:tbl>
      <w:tblPr>
        <w:tblW w:w="0" w:type="auto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620" w:firstRow="1" w:lastRow="0" w:firstColumn="0" w:lastColumn="0" w:noHBand="1" w:noVBand="1"/>
      </w:tblPr>
      <w:tblGrid>
        <w:gridCol w:w="1149"/>
        <w:gridCol w:w="3686"/>
        <w:gridCol w:w="1164"/>
        <w:gridCol w:w="1303"/>
        <w:gridCol w:w="1260"/>
        <w:gridCol w:w="1303"/>
        <w:gridCol w:w="1260"/>
        <w:gridCol w:w="1303"/>
        <w:gridCol w:w="1981"/>
      </w:tblGrid>
      <w:tr>
        <w:trPr>
          <w:cantSplit/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Код группы (подгруппы)/нарушения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Группа (подгруппа) нарушений/нарушение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Всего: количество 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Всего: сумма  нарушений,  тыс. рублей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Возмещено в бюджеты всех уровней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6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Предотвращено (устранено)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Составлено  протоколов об административных правонарушениях (количество)</w:t>
            </w:r>
            <w:r/>
          </w:p>
        </w:tc>
      </w:tr>
      <w:tr>
        <w:trPr>
          <w:cantSplit/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Всего: количество нарушений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Всего: сумма нарушений, тыс. рублей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Всего: количество нарушений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Всего: сумма нарушений, тыс.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</w:t>
            </w:r>
            <w:r/>
          </w:p>
        </w:tc>
      </w:tr>
      <w:tr>
        <w:trPr>
          <w:trHeight w:val="722"/>
        </w:trPr>
        <w:tc>
          <w:tcPr>
            <w:shd w:val="clear" w:color="auto" w:fill="ffffcc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Нарушения при формировании и исполнении бюджетов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15 358,41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58,86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10,00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Нарушения в ходе исполнения бюджетов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15 358,41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58,86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1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01.02.010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Невозврат либо несвоевременный возврат бюджетного кредита, предоставленного бюджету бюджетной системы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1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01.02.047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</w:t>
            </w:r>
            <w:r>
              <w:rPr>
                <w:rFonts w:ascii="Arial" w:hAnsi="Arial" w:cs="Arial"/>
                <w:sz w:val="20"/>
                <w:szCs w:val="20"/>
              </w:rPr>
              <w:t xml:space="preserve">ьных) услуг (выполнение работ) государственными (муниципальными) учреждениями (за исключением нарушений по п. 01.02.048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1 815,55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21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01.02.047.01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Невыполнение государственного (муниципального) задания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1 815,55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542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01.02.095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порядка оплаты</w:t>
            </w:r>
            <w:r>
              <w:rPr>
                <w:rFonts w:ascii="Arial" w:hAnsi="Arial" w:cs="Arial"/>
                <w:sz w:val="20"/>
                <w:szCs w:val="20"/>
              </w:rPr>
              <w:t xml:space="preserve">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 (за исключением нарушений, указанных в иных пунктах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13 542,86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58,86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542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01.02.095.01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13 521,86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58,86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01.02.095.02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Оплата труда сотрудников государственны</w:t>
            </w:r>
            <w:r>
              <w:rPr>
                <w:rFonts w:ascii="Arial" w:hAnsi="Arial" w:cs="Arial"/>
                <w:sz w:val="20"/>
                <w:szCs w:val="20"/>
              </w:rPr>
              <w:t xml:space="preserve">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 по основаниям, не предусмотренным законодательством Российской Федерации, локальными правыми  актами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83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01.02.096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</w:t>
            </w:r>
            <w:r>
              <w:rPr>
                <w:rFonts w:ascii="Arial" w:hAnsi="Arial" w:cs="Arial"/>
                <w:sz w:val="20"/>
                <w:szCs w:val="20"/>
              </w:rPr>
              <w:t xml:space="preserve">арушение порядка обеспечения открытости и доступности сведений, содержащихся в документах а,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01.02.096.02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</w:t>
            </w:r>
            <w:r>
              <w:rPr>
                <w:rFonts w:ascii="Arial" w:hAnsi="Arial" w:cs="Arial"/>
                <w:sz w:val="20"/>
                <w:szCs w:val="20"/>
              </w:rPr>
              <w:t xml:space="preserve">арушение порядка обеспечения открытости и доступности сведений, содержащихся в документах а,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5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01.02.101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пунктах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1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01.02.101.02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Нарушения при выполнении или невыполнение государственных (муниципальных) задач и функций государственными (муниципальными) казенными учрежд</w:t>
            </w:r>
            <w:r>
              <w:rPr>
                <w:rFonts w:ascii="Arial" w:hAnsi="Arial" w:cs="Arial"/>
                <w:sz w:val="20"/>
                <w:szCs w:val="20"/>
              </w:rPr>
              <w:t xml:space="preserve">ениями, государственными (муниципальными) бюджетными и государственными (муниципальными) автономными учреждениями, государственными корпорациями (компаниями), публично-правовыми компаниями (за исключением нарушений, указанных в иных пунктах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2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01.02.101.07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</w:t>
            </w:r>
            <w:r>
              <w:rPr>
                <w:rFonts w:ascii="Arial" w:hAnsi="Arial" w:cs="Arial"/>
                <w:sz w:val="20"/>
                <w:szCs w:val="20"/>
              </w:rPr>
              <w:t xml:space="preserve">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пунктах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875"/>
        </w:trPr>
        <w:tc>
          <w:tcPr>
            <w:shd w:val="clear" w:color="auto" w:fill="ffffcc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02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Нарушения ведения бухгалтерского учета, составления и представления бухгалтерской (финансовой) отчетности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37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19 598,23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18,00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69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60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18 730,47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69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02.02.001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Принятые к  бухгалтерскому учету документы содержат недостоверные данные о свершившихся фактах хозяйственной жизни (за исключением нарушений по п.п. 02.12-02.12.003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18 730,47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7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02.02.002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требований, предъявляемых к форме и (или) обязательным реквизитам первичных учетных документов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70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02.02.003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нарушения требований, предъявляемых к оформлению фактов хозяйственной жизни экономического субъекта первичными учетными документами (за исключением нарушений по п.п. 02.02.001, 02.02.002, 02.12-02.12.003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определенных экономическим субъектом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общих требований к бухгалтерской (финансовой) отчетности экономического субъекта, в том числе к ее составу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02.12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Грубое нарушение требований к бухгалтерскому учету, в том числе к бухгалтерской (финансовой) отчетности (за исключением случаев, предусмотренных п. 2.13, 2.14      Классификатора):</w:t>
              <w:br w:type="textWrapping" w:clear="all"/>
              <w:t xml:space="preserve">занижение сумм налогов и сборов не менее</w:t>
            </w:r>
            <w:r>
              <w:rPr>
                <w:rFonts w:ascii="Arial" w:hAnsi="Arial" w:cs="Arial"/>
                <w:sz w:val="20"/>
                <w:szCs w:val="20"/>
              </w:rPr>
              <w:t xml:space="preserve"> чем на 10 процентов вследствие искажения данных бухгалтерского учета;</w:t>
              <w:br/>
              <w:t xml:space="preserve">искажение любого показателя бухгалтерской (финансовой) отчетности, выраженного в денежном измерении, не менее чем на 10 процентов;</w:t>
              <w:br/>
              <w:t xml:space="preserve">регистрация в регистрах бухгалтерского учета мнимого о</w:t>
            </w:r>
            <w:r>
              <w:rPr>
                <w:rFonts w:ascii="Arial" w:hAnsi="Arial" w:cs="Arial"/>
                <w:sz w:val="20"/>
                <w:szCs w:val="20"/>
              </w:rPr>
              <w:t xml:space="preserve">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</w:t>
              <w:br/>
              <w:t xml:space="preserve">ведение счетов бухгалтерского учета вне применяемых регистров бухгал</w:t>
            </w:r>
            <w:r>
              <w:rPr>
                <w:rFonts w:ascii="Arial" w:hAnsi="Arial" w:cs="Arial"/>
                <w:sz w:val="20"/>
                <w:szCs w:val="20"/>
              </w:rPr>
              <w:t xml:space="preserve">терского учета;</w:t>
              <w:br/>
              <w:t xml:space="preserve">составление бухгалтерской (финансовой) отчетности не на основе данных, содержащихся в регистрах бухгалтерского учета;</w:t>
              <w:br/>
              <w:t xml:space="preserve">отсутствие у экономического субъекта первичных учетных документов, и (или) регистров бухгалтерского учета, и (или) бухгалт</w:t>
            </w:r>
            <w:r>
              <w:rPr>
                <w:rFonts w:ascii="Arial" w:hAnsi="Arial" w:cs="Arial"/>
                <w:sz w:val="20"/>
                <w:szCs w:val="20"/>
              </w:rPr>
              <w:t xml:space="preserve">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867,76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4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02.12.003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</w:t>
            </w:r>
            <w:r>
              <w:rPr>
                <w:rFonts w:ascii="Arial" w:hAnsi="Arial" w:cs="Arial"/>
                <w:sz w:val="20"/>
                <w:szCs w:val="20"/>
              </w:rPr>
              <w:t xml:space="preserve">орядка составления (формирования) консолидированной бухгалтерской (финансовой) отчетности:</w:t>
              <w:br/>
              <w:t xml:space="preserve">1)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</w:t>
            </w:r>
            <w:r>
              <w:rPr>
                <w:rFonts w:ascii="Arial" w:hAnsi="Arial" w:cs="Arial"/>
                <w:sz w:val="20"/>
                <w:szCs w:val="20"/>
              </w:rPr>
              <w:t xml:space="preserve">или) обязательствах, и (или) о финансовом результате:</w:t>
              <w:br/>
              <w:t xml:space="preserve">- более чем на 10 процентов;</w:t>
              <w:br/>
              <w:t xml:space="preserve">- не менее чем на 1 процент, но не более чем на 10 процентов и на сумму, превышающую один миллион рублей;</w:t>
              <w:br/>
              <w:t xml:space="preserve">2) искажение показателя бюджетной отчетности, выраженного в денежно</w:t>
            </w:r>
            <w:r>
              <w:rPr>
                <w:rFonts w:ascii="Arial" w:hAnsi="Arial" w:cs="Arial"/>
                <w:sz w:val="20"/>
                <w:szCs w:val="20"/>
              </w:rPr>
              <w:t xml:space="preserve">м измерении, которое привело к искажению показателя результата исполнения бюджета;</w:t>
              <w:br/>
              <w:t xml:space="preserve">3) занижение сумм налогов и сборов, страховых взносов на сумму, превышающую один миллион рублей, вследствие нарушения требований к бюджетному (бухгалтерскому) учету и (или) </w:t>
            </w:r>
            <w:r>
              <w:rPr>
                <w:rFonts w:ascii="Arial" w:hAnsi="Arial" w:cs="Arial"/>
                <w:sz w:val="20"/>
                <w:szCs w:val="20"/>
              </w:rPr>
              <w:t xml:space="preserve">искажения показателей бюджетной или бухгалтерской (финансовой) отчетности;</w:t>
              <w:br/>
              <w:t xml:space="preserve">4) включение в бюджетную или бухгалтерскую (финансовую) отчетность показателей, характеризующих объекты бухгалтерского учета и не подтвержденных соответствующими регистрами бухгалте</w:t>
            </w:r>
            <w:r>
              <w:rPr>
                <w:rFonts w:ascii="Arial" w:hAnsi="Arial" w:cs="Arial"/>
                <w:sz w:val="20"/>
                <w:szCs w:val="20"/>
              </w:rPr>
              <w:t xml:space="preserve">рского учета и (или) первичными учетными документами;</w:t>
              <w:br/>
              <w:t xml:space="preserve">5) 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притворного объекта бухгалтерского учета;</w:t>
              <w:br/>
              <w:t xml:space="preserve">6) ведение счетов бюджетного (бухгалтерского) учета вне применяемых регистров бухгалтерского учета;</w:t>
              <w:br/>
              <w:t xml:space="preserve">7) отсутствие первичных учетных документов, и (или) регистров бухгалтерского учета, и (или) бюджетной или бухгалт</w:t>
            </w:r>
            <w:r>
              <w:rPr>
                <w:rFonts w:ascii="Arial" w:hAnsi="Arial" w:cs="Arial"/>
                <w:sz w:val="20"/>
                <w:szCs w:val="20"/>
              </w:rPr>
              <w:t xml:space="preserve">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867,76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</w:tr>
      <w:tr>
        <w:trPr>
          <w:trHeight w:val="1453"/>
        </w:trPr>
        <w:tc>
          <w:tcPr>
            <w:shd w:val="clear" w:color="auto" w:fill="ffffcc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03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Нарушения в сфере управления и распоряжения государственной (муниципальной) собственностью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6,00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03.09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Ненадлежащее выполнение обязанностей руководителя унитарного предприятия, в том числе влекущее убыточную/ неприбыльную деятельность предприятия, получение меньшей, чем возможно прибыли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порядка распоряжения имуществом казенного учреждения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03.13.003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порядка распоряжения имуществом казенного учреждения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83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порядка отнесения имущества автономного или бюджетного учреждения к категории особо ценного движимого имущества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11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порядка учета и ведения реестра государственного (муниципального) имущества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311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599"/>
        </w:trPr>
        <w:tc>
          <w:tcPr>
            <w:shd w:val="clear" w:color="auto" w:fill="ffffcc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04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Нарушения при осуществлении государственных (муниципальных) закупок и закупок отдельными видами юридических лиц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51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9 893,45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5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Несоблюдения требований,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(договора)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5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Несоблюдение требований к содержанию документации (извещения) о закупке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04.27.004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Установление в документации (извещении) о за</w:t>
            </w:r>
            <w:r>
              <w:rPr>
                <w:rFonts w:ascii="Arial" w:hAnsi="Arial" w:cs="Arial"/>
                <w:sz w:val="20"/>
                <w:szCs w:val="20"/>
              </w:rPr>
              <w:t xml:space="preserve">купке / извещении о проведении запроса котировок и прилагаемых к нему документах, противоречивых сведений о закупке (времени совершения различных действий, ограничениях, преимуществах, требованиях к участникам закупок, требованиях к объекту закупки и т.д.)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4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04.33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обеспечения исполнения контракта (договора)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4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04.33.001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Несоответствие банковской гарантии, установленным условиям, в том числе в части срока действия банковской гарантии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4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04.33.002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обеспечения исполнения контракта (договора)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4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при выборе способа определения поставщика (подрядчика, исполнителя) как закупка у единственного поставщика (подрядчика, исполнителя)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798,15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4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Нарушения требований к протоколам, составленным в ходе осуществления закупок, их содержанию и размещению в открытом доступе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4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04.40.011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Неразмещение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4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Нарушения условий реализации контрактов (договоров), в том числе сроков реализации, включая  своевременность расчетов по контракту (договору) (за исключением нарушений по п.п. 04.45-04.45.002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189,34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4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04.44.001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Приемка и оплата (неоплата) поставленных товаров, выполненных работ, оказанных услуг с нарушением сроков, установленных законом, контрактом (договором)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189,34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4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04.44.002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Нарушения условий реализации контрактов (договоров), в том числе сроков реализации, включая  своевременность расчетов по контракту (договору) (за исключением нарушений по п.п. 04.44.001-04.45.002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54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Приемка и оплата поставленных товаров, выполненных работ, оказанных услуг, несоответствующих условиям  контрактов (договоров)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8 897,16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54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04.45.003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Приемка и оплата поставленных товаров, выполненных работ, оказанных услуг, несоответствующих условиям  контрактов (договоров)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8 897,16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54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54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04.47.001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Применение мер ответственности по контракту (договору) </w:t>
              <w:br w:type="textWrapping" w:clear="all"/>
              <w:t xml:space="preserve">с нарушением установленного порядка (в том чи</w:t>
            </w:r>
            <w:r>
              <w:rPr>
                <w:rFonts w:ascii="Arial" w:hAnsi="Arial" w:cs="Arial"/>
                <w:sz w:val="20"/>
                <w:szCs w:val="20"/>
              </w:rPr>
              <w:t xml:space="preserve">сле определение размера неустойки (штрафа, пени) в нарушение положений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7,57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54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04.47.002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296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Несоблюдение принципов и основных положений о закупке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74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04.49.003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реализация мер, направленных на сокращение издержек заказчика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2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04.49.009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Несоблюдение принципов и основных положений о закупке (за исключением нарушений, указанных в п.п. 04.49.001-04.49.008 Классификатора)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12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Непредставление, несвоевременное представление информации (сведений) и (или) докумен</w:t>
            </w:r>
            <w:r>
              <w:rPr>
                <w:rFonts w:ascii="Arial" w:hAnsi="Arial" w:cs="Arial"/>
                <w:sz w:val="20"/>
                <w:szCs w:val="20"/>
              </w:rPr>
              <w:t xml:space="preserve">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04.53.003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Невнесение или несвоевременное внесение в Единую автоматизированную систему управления закупками Московской области сведений о закупке, предусмотренных нормативными правовыми актами Московской</w:t>
            </w:r>
            <w:r>
              <w:rPr>
                <w:rFonts w:ascii="Arial" w:hAnsi="Arial" w:cs="Arial"/>
                <w:sz w:val="20"/>
                <w:szCs w:val="20"/>
              </w:rPr>
              <w:t xml:space="preserve"> области в сфере закупок товаров, работ, услуг для обеспечения государственных и муниципальных нужд, в том числе сведений о государственных контрактах, муниципальных контрактах, заключённых по результатам определения поставщиков (подрядчиков, исполнителей)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04.53.008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Непредставление, несвоевременное представление информации (сведений) и (или) докумен</w:t>
            </w:r>
            <w:r>
              <w:rPr>
                <w:rFonts w:ascii="Arial" w:hAnsi="Arial" w:cs="Arial"/>
                <w:sz w:val="20"/>
                <w:szCs w:val="20"/>
              </w:rPr>
              <w:t xml:space="preserve">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Итого</w:t>
            </w:r>
            <w:r/>
          </w:p>
        </w:tc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113</w:t>
            </w:r>
            <w:r/>
          </w:p>
        </w:tc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44 850,09</w:t>
            </w:r>
            <w:r/>
          </w:p>
        </w:tc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1,00</w:t>
            </w:r>
            <w:r/>
          </w:p>
        </w:tc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58,86</w:t>
            </w:r>
            <w:r/>
          </w:p>
        </w:tc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bottom"/>
            <w:textDirection w:val="lrTb"/>
            <w:noWrap/>
          </w:tcPr>
          <w:p>
            <w:pPr>
              <w:pStyle w:val="8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34,00</w:t>
            </w:r>
            <w:r/>
          </w:p>
        </w:tc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 </w:t>
            </w:r>
            <w:r/>
          </w:p>
        </w:tc>
        <w:tc>
          <w:tcPr>
            <w:shd w:val="clear" w:color="auto" w:fill="ffff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bottom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</w:t>
            </w:r>
            <w:r/>
          </w:p>
        </w:tc>
      </w:tr>
    </w:tbl>
    <w:p>
      <w:pPr>
        <w:pStyle w:val="830"/>
        <w:ind w:left="709"/>
        <w:jc w:val="both"/>
        <w:spacing w:before="60"/>
        <w:rPr>
          <w:color w:val="1f497d"/>
          <w:szCs w:val="28"/>
        </w:rPr>
      </w:pPr>
      <w:r>
        <w:rPr>
          <w:color w:val="1f497d"/>
          <w:szCs w:val="28"/>
        </w:rPr>
      </w:r>
      <w:r/>
    </w:p>
    <w:p>
      <w:pPr>
        <w:pStyle w:val="830"/>
        <w:ind w:left="709"/>
        <w:jc w:val="both"/>
        <w:spacing w:before="60"/>
        <w:rPr>
          <w:color w:val="1f497d"/>
          <w:sz w:val="16"/>
          <w:szCs w:val="16"/>
        </w:rPr>
      </w:pPr>
      <w:r>
        <w:rPr>
          <w:color w:val="1f497d"/>
          <w:szCs w:val="28"/>
        </w:rPr>
        <w:br w:type="page" w:clear="all"/>
      </w:r>
      <w:r>
        <w:rPr>
          <w:color w:val="1f497d"/>
          <w:sz w:val="16"/>
          <w:szCs w:val="16"/>
        </w:rPr>
      </w:r>
      <w:r/>
    </w:p>
    <w:tbl>
      <w:tblPr>
        <w:tblW w:w="14899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8"/>
        <w:gridCol w:w="4677"/>
        <w:gridCol w:w="1280"/>
        <w:gridCol w:w="1660"/>
        <w:gridCol w:w="1171"/>
        <w:gridCol w:w="1660"/>
        <w:gridCol w:w="1884"/>
        <w:gridCol w:w="1559"/>
      </w:tblGrid>
      <w:tr>
        <w:trPr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08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77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80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660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71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103" w:type="dxa"/>
            <w:vAlign w:val="center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Приложение №3</w:t>
            </w:r>
            <w:r/>
          </w:p>
        </w:tc>
      </w:tr>
      <w:tr>
        <w:trPr>
          <w:trHeight w:val="978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08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77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280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660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71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 Отчету о деятельности Контрольно-счетной палаты городского округа Серебряные Пруды</w:t>
              <w:br w:type="textWrapping" w:clear="all"/>
              <w:t xml:space="preserve">Московской области за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год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1008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4677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1280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1660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1171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1660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1884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none" w:color="FFFFFF" w:sz="255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30"/>
              <w:spacing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829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89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Сведения по нарушениям, выявленным в ходе экспертно-аналитических мероприятий, </w:t>
              <w:br w:type="textWrapping" w:clear="all"/>
              <w:t xml:space="preserve">в соответствии с Классификатором нарушений, выявляемых в ходе внешнего государственного аудита (контроля)</w:t>
            </w:r>
            <w:r/>
          </w:p>
        </w:tc>
      </w:tr>
    </w:tbl>
    <w:p>
      <w:pPr>
        <w:pStyle w:val="830"/>
        <w:spacing w:line="240" w:lineRule="auto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</w:r>
      <w:r/>
    </w:p>
    <w:tbl>
      <w:tblPr>
        <w:tblW w:w="1372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33"/>
        <w:gridCol w:w="4249"/>
        <w:gridCol w:w="1280"/>
        <w:gridCol w:w="1660"/>
        <w:gridCol w:w="830"/>
        <w:gridCol w:w="830"/>
        <w:gridCol w:w="941"/>
        <w:gridCol w:w="942"/>
        <w:gridCol w:w="1559"/>
      </w:tblGrid>
      <w:tr>
        <w:trPr>
          <w:cantSplit/>
          <w:trHeight w:val="1020"/>
          <w:tblHeader/>
        </w:trPr>
        <w:tc>
          <w:tcPr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Код группы (подгруппы) / нарушения</w:t>
            </w:r>
            <w:r/>
          </w:p>
        </w:tc>
        <w:tc>
          <w:tcPr>
            <w:tcW w:w="424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Группа (подгруппа) нарушений/нарушение</w:t>
            </w:r>
            <w:r/>
          </w:p>
        </w:tc>
        <w:tc>
          <w:tcPr>
            <w:tcW w:w="1280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Всего: количество нарушений</w:t>
            </w:r>
            <w:r/>
          </w:p>
        </w:tc>
        <w:tc>
          <w:tcPr>
            <w:tcW w:w="1660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Всего: сумма  нарушений,  тыс. рублей</w:t>
            </w:r>
            <w:r/>
          </w:p>
        </w:tc>
        <w:tc>
          <w:tcPr>
            <w:gridSpan w:val="2"/>
            <w:tcW w:w="166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Возмешено в бюджеты всех уровней</w:t>
            </w:r>
            <w:r/>
          </w:p>
        </w:tc>
        <w:tc>
          <w:tcPr>
            <w:gridSpan w:val="2"/>
            <w:tcW w:w="1883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Предотвращено (устранено)</w:t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Составлено  протоколов об административных правонарушениях (количество)</w:t>
            </w: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о)</w:t>
            </w: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      </w:t>
            </w: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r>
            <w:r/>
          </w:p>
        </w:tc>
      </w:tr>
      <w:tr>
        <w:trPr>
          <w:cantSplit/>
          <w:trHeight w:val="1020"/>
          <w:tblHeader/>
        </w:trPr>
        <w:tc>
          <w:tcPr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r>
            <w:r/>
          </w:p>
        </w:tc>
        <w:tc>
          <w:tcPr>
            <w:tcW w:w="4249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r>
            <w:r/>
          </w:p>
        </w:tc>
        <w:tc>
          <w:tcPr>
            <w:tcW w:w="1280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W w:w="1660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W w:w="83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Всего: количество нарушений</w:t>
            </w:r>
            <w:r/>
          </w:p>
        </w:tc>
        <w:tc>
          <w:tcPr>
            <w:tcW w:w="83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Всего: сумма нарушений, тыс. рублей</w:t>
            </w:r>
            <w:r/>
          </w:p>
        </w:tc>
        <w:tc>
          <w:tcPr>
            <w:tcW w:w="941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Всего: количество нарушений</w:t>
            </w:r>
            <w:r/>
          </w:p>
        </w:tc>
        <w:tc>
          <w:tcPr>
            <w:tcW w:w="942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18"/>
                <w:szCs w:val="20"/>
                <w:lang w:eastAsia="ru-RU"/>
              </w:rPr>
              <w:t xml:space="preserve">Всего: сумма нарушений, тыс. рублей</w:t>
            </w:r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</w:tr>
      <w:tr>
        <w:trPr>
          <w:trHeight w:val="141"/>
          <w:tblHeader/>
        </w:trPr>
        <w:tc>
          <w:tcPr>
            <w:tcW w:w="1433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1</w:t>
            </w:r>
            <w:r/>
          </w:p>
        </w:tc>
        <w:tc>
          <w:tcPr>
            <w:tcW w:w="4249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2</w:t>
            </w:r>
            <w:r/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3</w:t>
            </w:r>
            <w:r/>
          </w:p>
        </w:tc>
        <w:tc>
          <w:tcPr>
            <w:tcW w:w="166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4</w:t>
            </w:r>
            <w:r/>
          </w:p>
        </w:tc>
        <w:tc>
          <w:tcPr>
            <w:tcW w:w="83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r>
            <w:r/>
          </w:p>
        </w:tc>
        <w:tc>
          <w:tcPr>
            <w:tcW w:w="941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7</w:t>
            </w:r>
            <w:r/>
          </w:p>
        </w:tc>
        <w:tc>
          <w:tcPr>
            <w:tcW w:w="942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8</w:t>
            </w: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bCs/>
                <w:sz w:val="18"/>
                <w:szCs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ffffcc"/>
            <w:tcW w:w="1433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01</w:t>
            </w:r>
            <w:r/>
          </w:p>
        </w:tc>
        <w:tc>
          <w:tcPr>
            <w:shd w:val="clear" w:color="auto" w:fill="ffffcc"/>
            <w:tcW w:w="4249" w:type="dxa"/>
            <w:vAlign w:val="center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Нарушения при формировании и исполнении бюджетов</w:t>
            </w:r>
            <w:r/>
          </w:p>
        </w:tc>
        <w:tc>
          <w:tcPr>
            <w:shd w:val="clear" w:color="auto" w:fill="ffffcc"/>
            <w:tcW w:w="1280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fffcc"/>
            <w:tcW w:w="166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83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0 </w:t>
            </w:r>
            <w:r/>
          </w:p>
        </w:tc>
        <w:tc>
          <w:tcPr>
            <w:shd w:val="clear" w:color="auto" w:fill="ffffcc"/>
            <w:tcW w:w="83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941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94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1559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0 </w:t>
            </w:r>
            <w:r/>
          </w:p>
        </w:tc>
      </w:tr>
      <w:tr>
        <w:trPr>
          <w:trHeight w:val="600"/>
        </w:trPr>
        <w:tc>
          <w:tcPr>
            <w:tcW w:w="1433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01.01</w:t>
            </w:r>
            <w:r/>
          </w:p>
        </w:tc>
        <w:tc>
          <w:tcPr>
            <w:tcW w:w="4249" w:type="dxa"/>
            <w:vAlign w:val="center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Нарушения в ходе формирования бюджетов</w:t>
            </w:r>
            <w:r/>
          </w:p>
        </w:tc>
        <w:tc>
          <w:tcPr>
            <w:tcW w:w="1280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</w:t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66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tcW w:w="1433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01.01.003</w:t>
            </w:r>
            <w:r/>
          </w:p>
        </w:tc>
        <w:tc>
          <w:tcPr>
            <w:tcW w:w="4249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Несоблюдение требований к составлению и (или) представлению проекта закона (решения) о внесении изменений в закон (решение) о бюджете на текущий финансовый год и плановый период</w:t>
            </w:r>
            <w:r/>
          </w:p>
        </w:tc>
        <w:tc>
          <w:tcPr>
            <w:tcW w:w="1280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</w:t>
            </w:r>
            <w:r/>
          </w:p>
        </w:tc>
        <w:tc>
          <w:tcPr>
            <w:tcW w:w="166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tcW w:w="1433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01.01.013</w:t>
            </w:r>
            <w:r/>
          </w:p>
        </w:tc>
        <w:tc>
          <w:tcPr>
            <w:tcW w:w="4249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порядка формирования бюджетных ассигнований дорожных фондов</w:t>
            </w:r>
            <w:r/>
          </w:p>
        </w:tc>
        <w:tc>
          <w:tcPr>
            <w:tcW w:w="1280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W w:w="166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ffffcc"/>
            <w:tcBorders>
              <w:top w:val="none" w:color="000000" w:sz="4" w:space="0"/>
            </w:tcBorders>
            <w:tcW w:w="1433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02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</w:tcBorders>
            <w:tcW w:w="4249" w:type="dxa"/>
            <w:vAlign w:val="center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Нарушения ведения бухгалтерского учета, составления и представления бухгалтерской (финансовой) отчетности</w:t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</w:tcBorders>
            <w:tcW w:w="1280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</w:tcBorders>
            <w:tcW w:w="166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</w:tcBorders>
            <w:tcW w:w="83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</w:tcBorders>
            <w:tcW w:w="83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</w:tcBorders>
            <w:tcW w:w="941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Borders>
              <w:top w:val="non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tcW w:w="1433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02.04</w:t>
            </w:r>
            <w:r/>
          </w:p>
        </w:tc>
        <w:tc>
          <w:tcPr>
            <w:tcW w:w="4249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определенных экономическим субъектом</w:t>
            </w:r>
            <w:r/>
          </w:p>
        </w:tc>
        <w:tc>
          <w:tcPr>
            <w:tcW w:w="1280" w:type="dxa"/>
            <w:vAlign w:val="bottom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W w:w="166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tcW w:w="1433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02.09</w:t>
            </w:r>
            <w:r/>
          </w:p>
        </w:tc>
        <w:tc>
          <w:tcPr>
            <w:tcW w:w="4249" w:type="dxa"/>
            <w:vAlign w:val="center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общих требований к бухгалтерской (финансовой) отчетности экономического субъекта, в том числе к ее составу</w:t>
            </w:r>
            <w:r/>
          </w:p>
        </w:tc>
        <w:tc>
          <w:tcPr>
            <w:tcW w:w="1280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</w:t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66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83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94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ffffcc"/>
            <w:tcW w:w="1433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fffcc"/>
            <w:tcW w:w="4249" w:type="dxa"/>
            <w:vAlign w:val="center"/>
            <w:textDirection w:val="lrTb"/>
            <w:noWrap/>
          </w:tcPr>
          <w:p>
            <w:pPr>
              <w:pStyle w:val="8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Итого</w:t>
            </w:r>
            <w:r/>
          </w:p>
        </w:tc>
        <w:tc>
          <w:tcPr>
            <w:shd w:val="clear" w:color="auto" w:fill="ffffcc"/>
            <w:tcW w:w="1280" w:type="dxa"/>
            <w:vAlign w:val="center"/>
            <w:textDirection w:val="lrTb"/>
            <w:noWrap/>
          </w:tcPr>
          <w:p>
            <w:pPr>
              <w:pStyle w:val="8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ffffcc"/>
            <w:tcW w:w="166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830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83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941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94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ffffcc"/>
            <w:tcW w:w="1559" w:type="dxa"/>
            <w:vAlign w:val="center"/>
            <w:textDirection w:val="lrTb"/>
            <w:noWrap/>
          </w:tcPr>
          <w:p>
            <w:pPr>
              <w:pStyle w:val="830"/>
              <w:jc w:val="center"/>
              <w:spacing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0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0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0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0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0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0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0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0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0"/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0"/>
        <w:ind w:left="92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0"/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0"/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0"/>
        <w:ind w:left="164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0"/>
        <w:ind w:left="16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0"/>
        <w:ind w:left="200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0"/>
        <w:ind w:left="236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0"/>
        <w:ind w:left="236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0"/>
        <w:ind w:left="272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7113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0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0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0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0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0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0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0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0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0"/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720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720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0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0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0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0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0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0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0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0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0"/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30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30"/>
    <w:next w:val="830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30"/>
    <w:next w:val="830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30"/>
    <w:next w:val="830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30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next w:val="830"/>
    <w:link w:val="830"/>
    <w:qFormat/>
    <w:pPr>
      <w:spacing w:line="276" w:lineRule="auto"/>
    </w:pPr>
    <w:rPr>
      <w:rFonts w:eastAsia="Calibri"/>
      <w:sz w:val="28"/>
      <w:szCs w:val="22"/>
      <w:lang w:val="ru-RU" w:eastAsia="en-US" w:bidi="ar-SA"/>
    </w:rPr>
  </w:style>
  <w:style w:type="paragraph" w:styleId="831">
    <w:name w:val="Заголовок 1"/>
    <w:basedOn w:val="830"/>
    <w:next w:val="830"/>
    <w:link w:val="840"/>
    <w:uiPriority w:val="99"/>
    <w:qFormat/>
    <w:pPr>
      <w:keepNext/>
      <w:spacing w:line="240" w:lineRule="auto"/>
      <w:outlineLvl w:val="0"/>
    </w:pPr>
    <w:rPr>
      <w:rFonts w:eastAsia="Times New Roman"/>
      <w:b/>
      <w:bCs/>
      <w:szCs w:val="24"/>
      <w:lang w:eastAsia="ru-RU"/>
    </w:rPr>
  </w:style>
  <w:style w:type="paragraph" w:styleId="832">
    <w:name w:val="Заголовок 4"/>
    <w:basedOn w:val="830"/>
    <w:next w:val="830"/>
    <w:link w:val="830"/>
    <w:qFormat/>
    <w:pPr>
      <w:jc w:val="both"/>
      <w:keepNext/>
      <w:spacing w:line="240" w:lineRule="auto"/>
      <w:outlineLvl w:val="3"/>
    </w:pPr>
    <w:rPr>
      <w:rFonts w:eastAsia="Times New Roman"/>
      <w:szCs w:val="24"/>
      <w:lang w:eastAsia="ru-RU"/>
    </w:rPr>
  </w:style>
  <w:style w:type="character" w:styleId="833">
    <w:name w:val="Основной шрифт абзаца"/>
    <w:next w:val="833"/>
    <w:link w:val="830"/>
    <w:semiHidden/>
  </w:style>
  <w:style w:type="table" w:styleId="834">
    <w:name w:val="Обычная таблица"/>
    <w:next w:val="834"/>
    <w:link w:val="830"/>
    <w:semiHidden/>
    <w:tblPr/>
  </w:style>
  <w:style w:type="numbering" w:styleId="835">
    <w:name w:val="Нет списка"/>
    <w:next w:val="835"/>
    <w:link w:val="830"/>
    <w:semiHidden/>
  </w:style>
  <w:style w:type="character" w:styleId="836">
    <w:name w:val="Гиперссылка"/>
    <w:next w:val="836"/>
    <w:link w:val="830"/>
    <w:uiPriority w:val="99"/>
    <w:rPr>
      <w:color w:val="0000ff"/>
      <w:u w:val="single"/>
    </w:rPr>
  </w:style>
  <w:style w:type="table" w:styleId="837">
    <w:name w:val="Сетка таблицы"/>
    <w:basedOn w:val="834"/>
    <w:next w:val="837"/>
    <w:link w:val="830"/>
    <w:tblPr/>
  </w:style>
  <w:style w:type="paragraph" w:styleId="838">
    <w:name w:val="Текст выноски"/>
    <w:basedOn w:val="830"/>
    <w:next w:val="838"/>
    <w:link w:val="830"/>
    <w:semiHidden/>
    <w:rPr>
      <w:rFonts w:ascii="Tahoma" w:hAnsi="Tahoma" w:cs="Tahoma"/>
      <w:sz w:val="16"/>
      <w:szCs w:val="16"/>
    </w:rPr>
  </w:style>
  <w:style w:type="character" w:styleId="839">
    <w:name w:val="Гипертекстовая ссылка"/>
    <w:next w:val="839"/>
    <w:link w:val="830"/>
    <w:uiPriority w:val="99"/>
    <w:rPr>
      <w:color w:val="106bbe"/>
    </w:rPr>
  </w:style>
  <w:style w:type="character" w:styleId="840">
    <w:name w:val="Заголовок 1 Знак"/>
    <w:next w:val="840"/>
    <w:link w:val="831"/>
    <w:uiPriority w:val="99"/>
    <w:rPr>
      <w:b/>
      <w:bCs/>
      <w:sz w:val="28"/>
      <w:szCs w:val="24"/>
    </w:rPr>
  </w:style>
  <w:style w:type="paragraph" w:styleId="841">
    <w:name w:val="Комментарий"/>
    <w:basedOn w:val="830"/>
    <w:next w:val="830"/>
    <w:link w:val="830"/>
    <w:uiPriority w:val="99"/>
    <w:pPr>
      <w:jc w:val="both"/>
      <w:spacing w:before="75" w:line="240" w:lineRule="auto"/>
      <w:widowControl w:val="off"/>
    </w:pPr>
    <w:rPr>
      <w:rFonts w:ascii="Arial" w:hAnsi="Arial" w:eastAsia="Times New Roman" w:cs="Arial"/>
      <w:color w:val="353842"/>
      <w:sz w:val="24"/>
      <w:szCs w:val="24"/>
      <w:shd w:val="clear" w:color="auto" w:fill="f0f0f0"/>
      <w:lang w:eastAsia="ru-RU"/>
    </w:rPr>
  </w:style>
  <w:style w:type="paragraph" w:styleId="842">
    <w:name w:val="Информация об изменениях документа"/>
    <w:basedOn w:val="841"/>
    <w:next w:val="830"/>
    <w:link w:val="830"/>
    <w:uiPriority w:val="99"/>
    <w:pPr>
      <w:spacing w:before="0"/>
    </w:pPr>
    <w:rPr>
      <w:i/>
      <w:iCs/>
    </w:rPr>
  </w:style>
  <w:style w:type="paragraph" w:styleId="843">
    <w:name w:val="Нормальный (таблица)"/>
    <w:basedOn w:val="830"/>
    <w:next w:val="830"/>
    <w:link w:val="830"/>
    <w:uiPriority w:val="99"/>
    <w:pPr>
      <w:jc w:val="both"/>
      <w:spacing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44">
    <w:name w:val="Прижатый влево"/>
    <w:basedOn w:val="830"/>
    <w:next w:val="830"/>
    <w:link w:val="830"/>
    <w:uiPriority w:val="99"/>
    <w:pPr>
      <w:spacing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845">
    <w:name w:val="Цветовое выделение"/>
    <w:next w:val="845"/>
    <w:link w:val="830"/>
    <w:uiPriority w:val="99"/>
    <w:rPr>
      <w:b/>
      <w:bCs/>
      <w:color w:val="26282f"/>
      <w:sz w:val="26"/>
      <w:szCs w:val="26"/>
    </w:rPr>
  </w:style>
  <w:style w:type="paragraph" w:styleId="846">
    <w:name w:val="Содержимое таблицы"/>
    <w:basedOn w:val="830"/>
    <w:next w:val="846"/>
    <w:link w:val="830"/>
    <w:pPr>
      <w:spacing w:line="240" w:lineRule="auto"/>
      <w:widowControl w:val="off"/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847">
    <w:name w:val="Верхний колонтитул"/>
    <w:basedOn w:val="830"/>
    <w:next w:val="847"/>
    <w:link w:val="848"/>
    <w:uiPriority w:val="99"/>
    <w:pPr>
      <w:tabs>
        <w:tab w:val="center" w:pos="4677" w:leader="none"/>
        <w:tab w:val="right" w:pos="9355" w:leader="none"/>
      </w:tabs>
    </w:pPr>
  </w:style>
  <w:style w:type="character" w:styleId="848">
    <w:name w:val="Верхний колонтитул Знак"/>
    <w:next w:val="848"/>
    <w:link w:val="847"/>
    <w:uiPriority w:val="99"/>
    <w:rPr>
      <w:rFonts w:eastAsia="Calibri"/>
      <w:sz w:val="28"/>
      <w:szCs w:val="22"/>
      <w:lang w:eastAsia="en-US"/>
    </w:rPr>
  </w:style>
  <w:style w:type="paragraph" w:styleId="849">
    <w:name w:val="Нижний колонтитул"/>
    <w:basedOn w:val="830"/>
    <w:next w:val="849"/>
    <w:link w:val="850"/>
    <w:pPr>
      <w:tabs>
        <w:tab w:val="center" w:pos="4677" w:leader="none"/>
        <w:tab w:val="right" w:pos="9355" w:leader="none"/>
      </w:tabs>
    </w:pPr>
  </w:style>
  <w:style w:type="character" w:styleId="850">
    <w:name w:val="Нижний колонтитул Знак"/>
    <w:next w:val="850"/>
    <w:link w:val="849"/>
    <w:rPr>
      <w:rFonts w:eastAsia="Calibri"/>
      <w:sz w:val="28"/>
      <w:szCs w:val="22"/>
      <w:lang w:eastAsia="en-US"/>
    </w:rPr>
  </w:style>
  <w:style w:type="paragraph" w:styleId="851">
    <w:name w:val="Основной текст"/>
    <w:basedOn w:val="830"/>
    <w:next w:val="851"/>
    <w:link w:val="852"/>
    <w:unhideWhenUsed/>
    <w:pPr>
      <w:spacing w:line="278" w:lineRule="exact"/>
      <w:shd w:val="clear" w:color="auto" w:fill="ffffff"/>
      <w:widowControl w:val="off"/>
    </w:pPr>
    <w:rPr>
      <w:rFonts w:eastAsia="Times New Roman" w:cs="Courier New"/>
      <w:sz w:val="22"/>
      <w:szCs w:val="20"/>
      <w:lang w:eastAsia="ru-RU"/>
    </w:rPr>
  </w:style>
  <w:style w:type="character" w:styleId="852">
    <w:name w:val="Основной текст Знак"/>
    <w:next w:val="852"/>
    <w:link w:val="851"/>
    <w:rPr>
      <w:rFonts w:cs="Courier New"/>
      <w:sz w:val="22"/>
      <w:shd w:val="clear" w:color="auto" w:fill="ffffff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  <w:style w:type="paragraph" w:styleId="856" w:customStyle="1">
    <w:name w:val="Основной текст с отступом 31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kfnp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revision>70</cp:revision>
  <dcterms:created xsi:type="dcterms:W3CDTF">2022-10-11T07:04:00Z</dcterms:created>
  <dcterms:modified xsi:type="dcterms:W3CDTF">2024-09-30T08:11:44Z</dcterms:modified>
  <cp:version>917504</cp:version>
</cp:coreProperties>
</file>