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 М И Н И С Т Р А Ц И 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 СЕРЕБРЯНЫЕ ПРУДЫ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27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2104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постановление</w:t>
      </w:r>
      <w:r>
        <w:rPr>
          <w:rFonts w:ascii="Times New Roman" w:hAnsi="Times New Roman" w:cs="Times New Roman"/>
          <w:bCs/>
          <w:sz w:val="27"/>
          <w:szCs w:val="27"/>
        </w:rPr>
        <w:t xml:space="preserve"> администрации городского округа </w:t>
      </w:r>
      <w:r>
        <w:rPr>
          <w:sz w:val="27"/>
          <w:szCs w:val="27"/>
        </w:rPr>
      </w:r>
      <w:r/>
    </w:p>
    <w:p>
      <w:pPr>
        <w:jc w:val="center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Серебряные Пруды Московской области от 29.12.2022 № 2120 «Об утверждении муниципальной программы городского округа Серебряные Пруды Московской области «Социальная защита населения»</w:t>
      </w:r>
      <w:r>
        <w:rPr>
          <w:sz w:val="27"/>
          <w:szCs w:val="27"/>
        </w:rPr>
      </w:r>
      <w:r/>
    </w:p>
    <w:p>
      <w:pPr>
        <w:jc w:val="both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</w:t>
      </w:r>
      <w:r>
        <w:rPr>
          <w:rFonts w:ascii="Times New Roman" w:hAnsi="Times New Roman" w:cs="Times New Roman"/>
          <w:bCs/>
          <w:sz w:val="27"/>
          <w:szCs w:val="27"/>
        </w:rPr>
        <w:t xml:space="preserve">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highlight w:val="none"/>
        </w:rPr>
      </w:r>
      <w:r>
        <w:rPr>
          <w:rFonts w:ascii="Times New Roman" w:hAnsi="Times New Roman" w:cs="Times New Roman"/>
          <w:bCs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ПОСТАНОВЛЯЮ:</w:t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Внести в постановление администрации городского округа Серебряные Пруды Московской области от 29.12.2022 № 2120 «Об утверждении муни</w:t>
      </w:r>
      <w:r>
        <w:rPr>
          <w:rFonts w:ascii="Times New Roman" w:hAnsi="Times New Roman" w:cs="Times New Roman"/>
          <w:bCs/>
          <w:sz w:val="27"/>
          <w:szCs w:val="27"/>
        </w:rPr>
        <w:t xml:space="preserve">ципальной програ</w:t>
      </w:r>
      <w:r>
        <w:rPr>
          <w:rFonts w:ascii="Times New Roman" w:hAnsi="Times New Roman" w:cs="Times New Roman"/>
          <w:bCs/>
          <w:sz w:val="27"/>
          <w:szCs w:val="27"/>
        </w:rPr>
        <w:t xml:space="preserve">ммы городского округа Серебряные Пруды Московской области «Социальная защита населения» (с изменениями, внесенными постановлениями администрации городского округа Серебряные Пруды Московской области от 30.03.2023 № 508, от 27.12.2023 № 2626</w:t>
      </w:r>
      <w:r>
        <w:rPr>
          <w:rFonts w:ascii="Times New Roman" w:hAnsi="Times New Roman" w:cs="Times New Roman"/>
          <w:bCs/>
          <w:sz w:val="27"/>
          <w:szCs w:val="27"/>
        </w:rPr>
        <w:t xml:space="preserve">, от 28.03.2024 № 356, от 09.09.2024 № 1306</w:t>
      </w:r>
      <w:r>
        <w:rPr>
          <w:rFonts w:ascii="Times New Roman" w:hAnsi="Times New Roman" w:cs="Times New Roman"/>
          <w:bCs/>
          <w:sz w:val="27"/>
          <w:szCs w:val="27"/>
        </w:rPr>
        <w:t xml:space="preserve">, от 16.10.2024 № 1533)</w:t>
      </w:r>
      <w:r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  <w:r>
        <w:rPr>
          <w:sz w:val="27"/>
          <w:szCs w:val="27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изложить муниципальную программу городского округа Серебряные Пруды Московской области «Социальная защита населения» в новой редакции (прилагается).</w:t>
      </w:r>
      <w:r>
        <w:rPr>
          <w:sz w:val="27"/>
          <w:szCs w:val="27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Roboto" w:cs="Times New Roman"/>
          <w:color w:val="000000"/>
          <w:sz w:val="27"/>
          <w:szCs w:val="27"/>
          <w:highlight w:val="white"/>
        </w:rPr>
        <w:t xml:space="preserve"> настоящее </w:t>
      </w:r>
      <w:r>
        <w:rPr>
          <w:rFonts w:ascii="Times New Roman" w:hAnsi="Times New Roman" w:cs="Times New Roman"/>
          <w:bCs/>
          <w:sz w:val="27"/>
          <w:szCs w:val="27"/>
        </w:rPr>
        <w:t xml:space="preserve">постановление</w:t>
      </w:r>
      <w:r>
        <w:rPr>
          <w:rFonts w:ascii="Times New Roman" w:hAnsi="Times New Roman" w:eastAsia="Roboto" w:cs="Times New Roman"/>
          <w:color w:val="000000"/>
          <w:sz w:val="27"/>
          <w:szCs w:val="27"/>
          <w:highlight w:val="white"/>
        </w:rPr>
        <w:t xml:space="preserve"> в сетевом издании «Городской округ Серебряные Пруды», доменное имя сайта в информационно-телекоммуникационной сети «Интернет»: </w:t>
      </w:r>
      <w:r>
        <w:rPr>
          <w:rFonts w:ascii="Times New Roman" w:hAnsi="Times New Roman" w:eastAsia="Roboto" w:cs="Times New Roman"/>
          <w:color w:val="000000" w:themeColor="text1"/>
          <w:sz w:val="27"/>
          <w:szCs w:val="27"/>
          <w:highlight w:val="white"/>
          <w:lang w:val="en-US"/>
        </w:rPr>
      </w:r>
      <w:hyperlink r:id="rId10" w:tooltip="http://" w:history="1">
        <w:r>
          <w:rPr>
            <w:rStyle w:val="825"/>
            <w:rFonts w:ascii="Times New Roman" w:hAnsi="Times New Roman" w:eastAsia="Roboto" w:cs="Times New Roman"/>
            <w:color w:val="000000" w:themeColor="text1"/>
            <w:sz w:val="27"/>
            <w:szCs w:val="27"/>
            <w:highlight w:val="white"/>
            <w:u w:val="none"/>
            <w:lang w:val="en-US"/>
          </w:rPr>
          <w:t xml:space="preserve">http</w:t>
        </w:r>
        <w:r>
          <w:rPr>
            <w:rStyle w:val="825"/>
            <w:rFonts w:ascii="Times New Roman" w:hAnsi="Times New Roman" w:eastAsia="Roboto" w:cs="Times New Roman"/>
            <w:color w:val="000000" w:themeColor="text1"/>
            <w:sz w:val="27"/>
            <w:szCs w:val="27"/>
            <w:highlight w:val="white"/>
            <w:u w:val="none"/>
            <w:lang w:val="ru-RU"/>
          </w:rPr>
          <w:t xml:space="preserve">://</w:t>
        </w:r>
      </w:hyperlink>
      <w:r>
        <w:rPr>
          <w:rFonts w:ascii="Times New Roman" w:hAnsi="Times New Roman" w:eastAsia="Roboto" w:cs="Times New Roman"/>
          <w:color w:val="000000" w:themeColor="text1"/>
          <w:sz w:val="27"/>
          <w:szCs w:val="27"/>
          <w:highlight w:val="white"/>
          <w:u w:val="none"/>
          <w:lang w:val="en-US"/>
        </w:rPr>
        <w:t xml:space="preserve">spa</w:t>
      </w:r>
      <w:r>
        <w:rPr>
          <w:rFonts w:ascii="Times New Roman" w:hAnsi="Times New Roman" w:eastAsia="Roboto" w:cs="Times New Roman"/>
          <w:color w:val="000000"/>
          <w:sz w:val="27"/>
          <w:szCs w:val="27"/>
          <w:highlight w:val="white"/>
          <w:u w:val="none"/>
          <w:lang w:val="en-US"/>
        </w:rPr>
        <w:t xml:space="preserve">dm.ru</w:t>
      </w:r>
      <w:r>
        <w:rPr>
          <w:rFonts w:ascii="Times New Roman" w:hAnsi="Times New Roman" w:cs="Times New Roman"/>
          <w:bCs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3. Настоящее постановление вступает в силу после официального опубликования.</w:t>
      </w:r>
      <w:r>
        <w:rPr>
          <w:sz w:val="27"/>
          <w:szCs w:val="27"/>
        </w:rPr>
      </w:r>
      <w:r/>
    </w:p>
    <w:p>
      <w:pPr>
        <w:ind w:firstLine="567"/>
        <w:jc w:val="both"/>
        <w:spacing w:after="0" w:line="276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4. </w:t>
      </w:r>
      <w:r>
        <w:rPr>
          <w:rFonts w:ascii="Times New Roman" w:hAnsi="Times New Roman" w:cs="Times New Roman"/>
          <w:bCs/>
          <w:sz w:val="27"/>
          <w:szCs w:val="27"/>
        </w:rPr>
        <w:t xml:space="preserve">Контроль за</w:t>
      </w:r>
      <w:r>
        <w:rPr>
          <w:rFonts w:ascii="Times New Roman" w:hAnsi="Times New Roman" w:cs="Times New Roman"/>
          <w:bCs/>
          <w:sz w:val="27"/>
          <w:szCs w:val="27"/>
        </w:rPr>
        <w:t xml:space="preserve"> исполнением настоящего постановления возложить на заместителя главы городского округа Волкова А.И.   </w:t>
      </w:r>
      <w:r>
        <w:rPr>
          <w:sz w:val="27"/>
          <w:szCs w:val="27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sz w:val="27"/>
          <w:szCs w:val="27"/>
        </w:rPr>
      </w:r>
      <w:r/>
    </w:p>
    <w:p>
      <w:pPr>
        <w:spacing w:after="160" w:line="238" w:lineRule="atLeast"/>
        <w:rPr>
          <w:rFonts w:ascii="Arial" w:hAnsi="Arial" w:cs="Arial"/>
          <w:color w:val="000000"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Глава городского округа                                     О. В. Павлихин</w:t>
      </w:r>
      <w:r>
        <w:rPr>
          <w:sz w:val="26"/>
          <w:szCs w:val="26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Серебряные Пруды 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27.12.2024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к постановлению администрации                                                                                                                                                                            городского округа Серебряные Пруды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Московской области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29.12.2022 №2120 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(в редакции постановления администрации </w:t>
      </w:r>
      <w:r>
        <w:rPr>
          <w:sz w:val="24"/>
          <w:szCs w:val="24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от 27.12.2024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2104</w:t>
      </w:r>
      <w:r>
        <w:rPr>
          <w:rFonts w:ascii="Times New Roman" w:hAnsi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Паспорт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Серебряные Пруды Московской области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sz w:val="24"/>
          <w:szCs w:val="24"/>
        </w:rPr>
      </w:r>
      <w:r/>
    </w:p>
    <w:p>
      <w:pPr>
        <w:ind w:left="93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276"/>
        <w:gridCol w:w="1417"/>
        <w:gridCol w:w="1276"/>
        <w:gridCol w:w="1276"/>
        <w:gridCol w:w="1276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Серебряные Пруды Московской области Волков А.И.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заказчики подпрограмм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1. Подпрограмма 1 «Социальная поддержка граждан»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2. Подпрограмма 2 «Развитие системы отдыха и оздоровления детей»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Подпрограмма 4 «Содействие занятости населения, развитие трудовых ресурсов и охраны труда»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Подпрограмма 5 «Обеспечивающая подпрограмма»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5. Подпрограмма 6 «Развитие и поддержка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6. Подпрограмма 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5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подпрограмм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1. Подпрограмма 1 «Социальная поддержка граждан» направлена на повышение качества и уровня жизни граждан, достижение своевременного и полного предоставления мер социальной поддержки в рамках законодательства, обратившимся и имеющим право на их получение.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2. Подпрограмма 2 «Развитие системы отдыха и оздоровления детей»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направлена на развитие системы отдыха и оздоровления детей, обеспечивающей вовлечение детей в организованные формы отдыха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образовательных организаций, учреждений сферы культуры и дополнительного образования детей городского округа Серебряные Пруды Московской области, повышение удовлетворенности получателей услуг и качества предоставляемых услуг детского отдыха и оздоровления.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Подпрограмма 4 «Содействие занятости населения, развитие трудовых ресурсов и охраны труда» направлена на обеспечение права граждан на труд и социальную защиту от безработицы, содействие в подборе подходящей работы и трудоустройстве, информирование граж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дан о положении на рынке труда, гарантия социальной поддержки безработным гражданам, осуществление мер активной политики занятости населения. Осуществление политики в сфере охраны труда, повышение профессионального уровня специалистов в области управления.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Подпрограмма 5 «Обеспечивающая подпрограмма»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направлена на создание оптимальных условий: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деятельности администрации городского округа Серебряные Пруды Московской области в сфере социальной защиты населения;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исполнения переданных полномочий Московской области по созданию комиссий по делам несовершеннолетних и защите их прав.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5. Подпрограмма 6 «Развитие и 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направлена на поддержку СО НКО, осуществляющих свою деятельность на территории городского округа Серебряные Пруды Московской области, создание условий для деятельности СО НКО посредством оказания им финансовой, имущественной, информационной, кон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сультационной поддержки, привлечение СО НКО в сферу оказания услуг населению городского округа Серебряные Пруды Московской области, создание постоянно действующей системы взаимодействия органов местного самоуправления, СО НКО и населения городского округа.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7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6. Подпрограмма 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направлена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Серебр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яные Пруды Московской области,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ind w:right="-79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7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 программы (тыс.руб.):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3 484,00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3 875,00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3 532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9 200,16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9 798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10 285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10 285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9 995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12 684,16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 Краткая характеристика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сферы реализации муниципальной программы, в том числе формулировка основных проблем в указанной сфере,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описание цели муниципальной программы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Социальная поддержка граждан представляет собой систему правовых, экономических, орга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низационных и иных мер, гарантированных государством отдельным категориям населения. Категории получателей социальной поддержки, меры социальной поддержки, перечень гарантированных государством социальных услуг, предоставляемых государственными учреждениям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социального обслуживания Московской области, и условия их предоставления определены федеральным законодательством, законами Московской области и другими нормативными правовыми актами Российской Федерации, нормативными правовыми актами Московской области.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городском округе Серебряные Пруды развивается нормативная правовая база социальной поддержки различных категорий граждан, семьи и детей, совершенствуется порядок предоставления мер социальной поддержки, оптимизируется сеть государственных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учреждений социального обслуживания, открываются новые и реконструируются функционирующие объекты государственных учреждений социального обслуживания, открываются новые отделения социального обслуживания, повышаются доступность и качество социального обсл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уживания, используются инновационные формы социального обслуживания, внедрены стандарты социальных услуг, регистр получателей социальных услуг и реестр их поставщиков, укрепляются материально-техническая и кадровая базы учреждений социального обслуживания.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 социальн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 защиты населения в городском округе Серебряные Пруды базируется на принципах добровольности, адресности, нуждаемости и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Целью муниципальной программы является: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Обеспечение социального развития городского округа Серебряные Пруды Московской области на основе устойчивого роста уровня и качества жизни населения, нуждающегося в социальной поддержке;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Развитие системы оздоровления и отдыха детей, обеспечивающей вовлечение детей в организов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анные формы отдыха на территории образовательных организаций, учреждений сферы культуры и дополнительного образования детей городского округа Серебряные Пруды Московской области, повышение качества предоставляемых услуг в сфере оздоровления и отдыха детей;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Создание условий для деятельности социально ориентированных некоммерческих организаций (далее – СО НКО) посредством оказания им финансовой, имущественной,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информационной, консультационной поддержки,</w:t>
      </w:r>
      <w:r>
        <w:rPr>
          <w:rStyle w:val="82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привлечение СО НКО в сферу оказания услуг населению городского округа Серебряные Пруды Московской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Обеспечение беспрепятственного доступа к приоритетным объектам и услугам в приоритетных сферах жизнедеятельности (образова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ние, спорт и физическая культура, культура)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 в городском округе Серебряные Пруды Московской области.</w:t>
      </w:r>
      <w:r>
        <w:rPr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 Инерционный прогноз развития социальной сферы с учетом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 муниципальной программы, включая возможные варианты решения проблемы,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оценку преимуществ и рисков, возникающих при выборе различных вариантов решения проблемы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системы социальной защиты населения будет осуществляться в следующих основных направлениях: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оказание мер социальной поддержки гражданам, нуждающимся в социальной поддержке;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организация отдыха и оздоровления детей городского округа Серебряные Пруды Московской области;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осуществление политики в сфере охраны труда, повышения профессионального уровня специалистов в области управления;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развитие и оказание поддержки СО НКО;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повышение уровня доступности инфраструктурных объектов для инвалидов и других маломобильных групп населения в городском округе Серебряные Пруды Московской области.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силу социального характера реализация муниципальной программы будет способствовать сохранению стабильности социального самочувствия граждан в городском округе Серебряные Пруды Московской области.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 и Московской области. </w:t>
      </w:r>
      <w:r>
        <w:rPr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Внешними рисками для реализации муниципальной программы являются: макроэкономические риски, связанные с возможным снижением темпов роста экономики, высокой инфляцией, кризисными явлениями в банковской системе и дефицитом бюджета.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Серебряные Пруды Московской области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151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275"/>
        <w:gridCol w:w="1134"/>
        <w:gridCol w:w="709"/>
        <w:gridCol w:w="709"/>
        <w:gridCol w:w="709"/>
        <w:gridCol w:w="708"/>
        <w:gridCol w:w="709"/>
        <w:gridCol w:w="1843"/>
        <w:gridCol w:w="1843"/>
      </w:tblGrid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Merge w:val="restart"/>
            <w:textDirection w:val="lrTb"/>
            <w:noWrap w:val="false"/>
          </w:tcPr>
          <w:p>
            <w:pPr>
              <w:ind w:left="-60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целевых показателей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Базовое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Планируемое значение по годам реализации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достижение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ind w:left="-113" w:right="-1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подпрограммы, мероприятий, оказывающих влияние на достижение показателя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2" w:right="-1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Y.XX.ZZ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Подпрограмма 1 «Социальная поддержка граждан»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1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Приоритетный показатель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1070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Пруды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1.15.01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1.15.02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1.15.03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1.15.04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1.20.01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1.20.03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Подпрограмма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 «Развитие системы отдыха и оздоровления детей»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Приоритетный показатель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2.03.01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2.03.02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2.03.03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Приоритетный показатель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2.03.01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2.03.02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2.03.03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 «Содействие занятости населения, развитие трудовых ресурсов и охраны труда»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4.03.02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6 «Развитие и поддержка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которым оказана консультационная поддержка органами местного самоуправления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6.02.02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6.02.02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6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метров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 в иных сферах, которым оказана поддержка органами местного самоуправления 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5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6.02.01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6.02.02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метров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экономики и инвестиций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6.02.01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gridSpan w:val="1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168" w:type="dxa"/>
            <w:textDirection w:val="lrTb"/>
            <w:noWrap w:val="false"/>
          </w:tcPr>
          <w:p>
            <w:pPr>
              <w:ind w:left="-62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Подпрограмма </w:t>
            </w:r>
            <w:r>
              <w:rPr>
                <w:rStyle w:val="82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7 «Обеспечение доступности для инвалидов и маломобильных групп населения объектов инфраструктуры и услуг»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ind w:left="-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ind w:left="-6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ind w:left="-57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81,8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85,8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7.01.01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Методика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расчета значений показателей муниципальной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 городского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1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270"/>
        <w:gridCol w:w="1276"/>
        <w:gridCol w:w="7087"/>
        <w:gridCol w:w="2268"/>
        <w:gridCol w:w="1845"/>
      </w:tblGrid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ind w:left="-134" w:right="-6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расчета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данных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Периодичность представления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contextualSpacing/>
              <w:ind w:right="-62"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contextualSpacing/>
              <w:ind w:left="-113" w:right="-113"/>
              <w:jc w:val="center"/>
              <w:spacing w:after="0" w:line="240" w:lineRule="auto"/>
              <w:rPr>
                <w:rStyle w:val="8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граждан старшего возраста, ведущих активный образ жизни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right="7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АИС «Активное долголетие»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рассчитывается по формуле: Дд=Чотд/Чобщ*100%,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Дд - доля детей, охваченных отдыхом и оздоровлением, в общей численности детей в возрасте от 7 до 15 лет, подлежащих оздоровлению;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Чотд - численность детей, охваченных отдыхом и оздоровлением в текущем году;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Дджс=Чотджс/Чобщ*100%,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Ддтжс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Чотдтжс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общая численность детей в возрасте от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tabs>
                <w:tab w:val="left" w:pos="28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7" w:right="0" w:firstLine="0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right="-11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1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организаций муниципальной собственности)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Отчетность муниципальных образований Московской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СО НКО, которым оказана консультационная поддержка органами местного самоуправления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При этом учитывается общее количество СО НКО: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которых приняли участие в конфер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 с представителям которых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 добровольцев СО НКО.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20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2" w:right="-204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СО НКО, которым оказана поддержка органами местного самоуправления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ind w:left="57" w:right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Ксонко=Ксонкосз+Ксонкокульт+Ксонкообр+Ксонкофс+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Ксонкоин,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где: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 – количество СО НКО, которым оказана поддержка органами местного самоуправления, всего;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Ксонкосз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Ксонкокульт – количество СО НКО в сфере культуры,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Ксонкообр – количество СО НКО в сфере образования,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Ксонкофс – количество СО НКО в сфере физической культуры и спорта,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Ксонкозд – количество СО НКО в сфере охраны здоровья,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1382846</wp:posOffset>
                      </wp:positionV>
                      <wp:extent cx="742950" cy="295275"/>
                      <wp:effectExtent l="0" t="0" r="0" b="0"/>
                      <wp:wrapSquare wrapText="bothSides"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2769531" name="image2.png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42950" cy="29527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3872;o:allowoverlap:true;o:allowincell:true;mso-position-horizontal-relative:text;margin-left:259.3pt;mso-position-horizontal:absolute;mso-position-vertical-relative:text;margin-top:108.9pt;mso-position-vertical:absolute;width:58.5pt;height:23.2pt;mso-wrap-distance-left:9.0pt;mso-wrap-distance-top:0.0pt;mso-wrap-distance-right:9.0pt;mso-wrap-distance-bottom:0.0pt;rotation:0;" stroked="false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Ксонкоин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Составляющие рассчитываются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где: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Ксонко – количество СО НКО в сфере,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– число СО НКО на территории муниципального образования в сфере, получивших поддержку от органов местного самоуправления.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Отчетность муниципальных образований Московской 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57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метров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 в иных сферах, которым оказана поддержка органами местного самоуправления 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Ксонко=Ксонкосз+Ксонкокульт+Ксонкообр+Ксонкофс+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Ксонкоин,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 – количество СО НКО, которым оказана поддержка органами местного самоуправления всего;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Ксонкосз – количество СО НКО в сфере социальной защиты населения,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Ксонкокульт – количество СО НКО в сфере культуры,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Ксонкообр – количество СО НКО в сфере образования,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Ксонкофс – количество СО НКО в сфере физической культуры и спорта,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Ксонкозд – количество СО НКО в сфере охраны здоровья, которым оказана поддержка органами местного самоуправления;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Ксонкоин 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70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в иных сферах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метров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7" w:type="dxa"/>
            <w:textDirection w:val="lrTb"/>
            <w:noWrap w:val="false"/>
          </w:tcPr>
          <w:p>
            <w:pPr>
              <w:ind w:left="-61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иных сферах в течение года реализации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ind w:left="-62" w:right="-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45" w:type="dxa"/>
            <w:textDirection w:val="lrTb"/>
            <w:noWrap w:val="false"/>
          </w:tcPr>
          <w:p>
            <w:pPr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ind w:left="-38" w:right="-11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70" w:type="dxa"/>
            <w:textDirection w:val="lrTb"/>
            <w:noWrap w:val="false"/>
          </w:tcPr>
          <w:p>
            <w:pPr>
              <w:ind w:right="-1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маломобильных 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населения муниципальных объектов инфраструктуры в общем количестве муниципальных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2540</wp:posOffset>
                      </wp:positionV>
                      <wp:extent cx="1114425" cy="228600"/>
                      <wp:effectExtent l="0" t="0" r="9525" b="0"/>
                      <wp:wrapNone/>
                      <wp:docPr id="2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4425" cy="228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5680;o:allowoverlap:true;o:allowincell:true;mso-position-horizontal-relative:text;margin-left:236.8pt;mso-position-horizontal:absolute;mso-position-vertical-relative:text;margin-top:0.2pt;mso-position-vertical:absolute;width:87.8pt;height:18.0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формуле: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  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Nоко – общее количество муниципальных объектов на территории муниципального образования.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845" w:type="dxa"/>
            <w:textDirection w:val="lrTb"/>
            <w:noWrap w:val="false"/>
          </w:tcPr>
          <w:p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</w:r>
      <w:r>
        <w:rPr>
          <w:rFonts w:ascii="Arial" w:hAnsi="Arial" w:eastAsia="Times New Roman" w:cs="Arial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подпрограммы 1 «Социальная поддержка граждан»</w:t>
      </w:r>
      <w:r>
        <w:rPr>
          <w:sz w:val="24"/>
          <w:szCs w:val="24"/>
        </w:rPr>
      </w:r>
      <w:r/>
    </w:p>
    <w:p>
      <w:pPr>
        <w:pStyle w:val="845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686"/>
        <w:gridCol w:w="992"/>
        <w:gridCol w:w="992"/>
        <w:gridCol w:w="1134"/>
        <w:gridCol w:w="992"/>
        <w:gridCol w:w="993"/>
        <w:gridCol w:w="1134"/>
      </w:tblGrid>
      <w:tr>
        <w:trPr>
          <w:trHeight w:val="20"/>
        </w:trPr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W w:w="12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6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6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85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5 803,00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6 290,00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6 290,00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6 225,00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30 037,56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0,00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5 803,00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6 290,00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6 290,00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6 225,00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30 037,56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 «Социальная поддержка граждан»</w:t>
      </w:r>
      <w:r>
        <w:rPr>
          <w:sz w:val="24"/>
          <w:szCs w:val="24"/>
        </w:rPr>
      </w:r>
      <w:r/>
    </w:p>
    <w:p>
      <w:pPr>
        <w:pStyle w:val="845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2421"/>
        <w:gridCol w:w="1559"/>
        <w:gridCol w:w="2409"/>
        <w:gridCol w:w="850"/>
        <w:gridCol w:w="850"/>
        <w:gridCol w:w="662"/>
        <w:gridCol w:w="423"/>
        <w:gridCol w:w="499"/>
        <w:gridCol w:w="423"/>
        <w:gridCol w:w="426"/>
        <w:gridCol w:w="847"/>
        <w:gridCol w:w="847"/>
        <w:gridCol w:w="836"/>
        <w:gridCol w:w="1781"/>
      </w:tblGrid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left="-179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tcW w:w="58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9" w:right="-119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за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выполнение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ind w:left="-179" w:right="-108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79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Основное мероприятие 15. Предоставление государственных гарантий муниципальным служащим, поощрение за муниципальную службу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30 037,56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5 803,00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6 225,00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30 037,56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5 803,00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6 225,00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Мероприятие 15.01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05" w:right="-15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5" w:right="-15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 w:themeColor="text1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113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zh-CN" w:bidi="ar"/>
              </w:rPr>
              <w:t xml:space="preserve">Мероприятие 15.02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5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ind w:left="-108" w:right="-51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ind w:left="-98" w:right="-113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  <w:outlineLvl w:val="0"/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Мероприятие 15.03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30 037,56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5 803,00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6 225,00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30 037,56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5 803,00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6 225,00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zh-CN" w:bidi="ar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70" w:right="-158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70" w:right="-158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ind w:left="-127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zh-CN" w:bidi="ar"/>
              </w:rPr>
              <w:t xml:space="preserve">Мероприятие 15.04 Организация выплаты единовременного поощрения при увольнении муниципального служащего в связи с выходом на пенсию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64" w:right="-170"/>
              <w:jc w:val="center"/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5" w:right="-113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Основное мероприятие 20. Обеспечение проведения мероприятий, направленных на увеличение продолжительности здоровой жизни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Мероприятие 20.01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муниципальных учреждений, оказывающих социальные услуги гражданам старшего возраста,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 w:right="-11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64" w:right="-170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5" w:right="-113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20.03 Открытие клуба «Активное долголетие»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ind w:left="-98" w:right="-113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открытых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(действующих) клубов «Активное долголетие»,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vMerge w:val="restart"/>
            <w:textDirection w:val="lrTb"/>
            <w:noWrap w:val="false"/>
          </w:tcPr>
          <w:p>
            <w:pPr>
              <w:ind w:left="-164" w:right="-170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5" w:right="-113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6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restart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restart"/>
            <w:textDirection w:val="lrTb"/>
            <w:noWrap w:val="false"/>
          </w:tcPr>
          <w:p>
            <w:pPr>
              <w:ind w:left="-9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30 037,56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5 803,00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6 225,00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ind w:left="-108" w:right="-113"/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30 037,56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429,56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5 803,00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6 225,00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412" w:type="dxa"/>
            <w:vMerge w:val="continue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39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3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3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Методика определения резул</w:t>
      </w:r>
      <w:r>
        <w:rPr>
          <w:rFonts w:ascii="Times New Roman" w:hAnsi="Times New Roman" w:cs="Times New Roman"/>
          <w:sz w:val="24"/>
          <w:szCs w:val="24"/>
        </w:rPr>
        <w:t xml:space="preserve">ьтатов выполнения мероприятий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программы городского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1587"/>
        <w:gridCol w:w="1417"/>
        <w:gridCol w:w="1417"/>
        <w:gridCol w:w="4394"/>
        <w:gridCol w:w="1134"/>
        <w:gridCol w:w="4822"/>
      </w:tblGrid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79" w:right="-136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70" w:right="-17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численность получателей пенсии за выслугу лет лицам, замещающим муниципальные должности и должности муниципальной службы, в связи с выходом на пенсию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получателей выплаты единовременного поощрения при увольнении муниципального служащего в связи с выходом на пенсию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численность получателей выплаты единовременного поощрения при увольнении муниципального служащего в связи с выходом на пенсию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муниципальных учреждений, оказывающих социальные услуги гражданам старшего возраста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 количество муниципальных учреждений, оказывающих социальные услуги гражданам старшего возраста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открытых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 (действующих) клубов «Активное долголетие»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 количество открытых (действующих) клубов «Активное долголетие»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left"/>
        <w:spacing w:after="0" w:line="240" w:lineRule="auto"/>
        <w:rPr>
          <w:rStyle w:val="825"/>
          <w:rFonts w:ascii="Times New Roman" w:hAnsi="Times New Roman" w:cs="Times New Roman"/>
          <w:color w:val="auto"/>
          <w:sz w:val="20"/>
          <w:szCs w:val="20"/>
          <w:highlight w:val="none"/>
          <w:u w:val="none"/>
        </w:rPr>
      </w:pPr>
      <w:r>
        <w:rPr>
          <w:rStyle w:val="825"/>
          <w:rFonts w:ascii="Times New Roman" w:hAnsi="Times New Roman" w:cs="Times New Roman"/>
          <w:color w:val="auto"/>
          <w:sz w:val="20"/>
          <w:szCs w:val="20"/>
          <w:highlight w:val="none"/>
          <w:u w:val="none"/>
        </w:rPr>
      </w:r>
      <w:r>
        <w:rPr>
          <w:rStyle w:val="825"/>
          <w:rFonts w:ascii="Times New Roman" w:hAnsi="Times New Roman" w:cs="Times New Roman"/>
          <w:color w:val="auto"/>
          <w:sz w:val="20"/>
          <w:szCs w:val="20"/>
          <w:highlight w:val="none"/>
          <w:u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подпрограммы </w:t>
      </w:r>
      <w:r>
        <w:rPr>
          <w:rStyle w:val="825"/>
          <w:rFonts w:ascii="Times New Roman" w:hAnsi="Times New Roman" w:cs="Times New Roman"/>
          <w:color w:val="auto"/>
          <w:sz w:val="24"/>
          <w:szCs w:val="24"/>
          <w:u w:val="none"/>
        </w:rPr>
        <w:t xml:space="preserve">2 «Развитие системы отдыха и оздоровления детей»</w:t>
      </w:r>
      <w:r>
        <w:rPr>
          <w:rStyle w:val="825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0"/>
          <w:szCs w:val="20"/>
          <w:highlight w:val="none"/>
          <w:u w:val="none"/>
        </w:rPr>
      </w:pPr>
      <w:r>
        <w:rPr>
          <w:rStyle w:val="825"/>
          <w:rFonts w:ascii="Times New Roman" w:hAnsi="Times New Roman" w:cs="Times New Roman"/>
          <w:color w:val="auto"/>
          <w:sz w:val="20"/>
          <w:szCs w:val="20"/>
          <w:highlight w:val="none"/>
          <w:u w:val="none"/>
        </w:rPr>
      </w:r>
      <w:r>
        <w:rPr>
          <w:rStyle w:val="825"/>
          <w:rFonts w:ascii="Times New Roman" w:hAnsi="Times New Roman" w:cs="Times New Roman"/>
          <w:color w:val="auto"/>
          <w:sz w:val="20"/>
          <w:szCs w:val="20"/>
          <w:highlight w:val="none"/>
          <w:u w:val="none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993"/>
        <w:gridCol w:w="992"/>
        <w:gridCol w:w="992"/>
        <w:gridCol w:w="992"/>
        <w:gridCol w:w="993"/>
        <w:gridCol w:w="1134"/>
      </w:tblGrid>
      <w:tr>
        <w:trPr>
          <w:trHeight w:val="20"/>
        </w:trPr>
        <w:tc>
          <w:tcPr>
            <w:tcW w:w="2694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474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6096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37" w:right="-113"/>
              <w:jc w:val="center"/>
              <w:keepLines/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37" w:right="-113"/>
              <w:jc w:val="center"/>
              <w:keepLines/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37" w:right="-113"/>
              <w:jc w:val="center"/>
              <w:keepLines/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37" w:right="-113"/>
              <w:jc w:val="center"/>
              <w:keepLines/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36" w:right="-113" w:firstLine="0"/>
              <w:jc w:val="center"/>
              <w:keepLines/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4 919,60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5 369,40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5 459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4 919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6 138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1 149,00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1 374,00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464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3 770,60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3 995,40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9 527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137"/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5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7" w:right="-8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37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Style w:val="825"/>
          <w:rFonts w:ascii="Times New Roman" w:hAnsi="Times New Roman" w:cs="Times New Roman"/>
          <w:color w:val="auto"/>
          <w:sz w:val="24"/>
          <w:szCs w:val="24"/>
          <w:u w:val="none"/>
        </w:rPr>
        <w:t xml:space="preserve">2 «Развитие системы отдыха и оздоровления детей»</w:t>
      </w:r>
      <w:r>
        <w:rPr>
          <w:sz w:val="24"/>
          <w:szCs w:val="24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1418"/>
        <w:gridCol w:w="2373"/>
        <w:gridCol w:w="846"/>
        <w:gridCol w:w="845"/>
        <w:gridCol w:w="705"/>
        <w:gridCol w:w="423"/>
        <w:gridCol w:w="499"/>
        <w:gridCol w:w="423"/>
        <w:gridCol w:w="426"/>
        <w:gridCol w:w="847"/>
        <w:gridCol w:w="846"/>
        <w:gridCol w:w="848"/>
        <w:gridCol w:w="1834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250" w:right="-250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6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Основное мероприятие 03. Мероприятия по организации отдыха детей в каникулярное время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919,60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5 369,40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образованию, отдел культуры по делам молодежи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1 374,00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770,60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3 995,40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03.01 Мероприятия по организации отдыха детей в каникулярное время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288,00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127,00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образованию, отдел культуры по делам молодежи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9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1 374,00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3 753,00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Количество детей, участвующих в мероприятиях по организации отдыха детей в каникулярное время, чел.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61"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образованию, отдел культуры по делам молодежи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03.02. Расходы на обеспечение деятельности (оказание услуг) муниципальных учреждений - отдых и оздоровление детей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муниципальных учреждений, оказывающих услугу, связанную с организацией отдыха и оздоровление детей,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restart"/>
            <w:textDirection w:val="lrTb"/>
            <w:noWrap w:val="false"/>
          </w:tcPr>
          <w:p>
            <w:pPr>
              <w:pStyle w:val="846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6"/>
              <w:ind w:left="-113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03.03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жизни и здоровья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990,40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631,60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631,60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990,40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631,60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631,60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учреждений, осуществляющих мероприятия по обеспечению организации отдыха детей в каникулярное время, включая мероприятия по обеспечению безопасности их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жизни и здоровья,ед.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37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restart"/>
            <w:textDirection w:val="lrTb"/>
            <w:noWrap w:val="false"/>
          </w:tcPr>
          <w:p>
            <w:pPr>
              <w:pStyle w:val="846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6"/>
              <w:ind w:left="-113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образованию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919,60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5 369,40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149,00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1 374,00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770,60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3 995,40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83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373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76" w:type="dxa"/>
            <w:textDirection w:val="lrTb"/>
            <w:noWrap w:val="false"/>
          </w:tcPr>
          <w:p>
            <w:pPr>
              <w:ind w:left="-108" w:right="-11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7" w:type="dxa"/>
            <w:textDirection w:val="lrTb"/>
            <w:noWrap w:val="false"/>
          </w:tcPr>
          <w:p>
            <w:pPr>
              <w:ind w:left="-98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6" w:type="dxa"/>
            <w:textDirection w:val="lrTb"/>
            <w:noWrap w:val="false"/>
          </w:tcPr>
          <w:p>
            <w:pPr>
              <w:ind w:left="-103" w:right="-10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48" w:type="dxa"/>
            <w:textDirection w:val="lrTb"/>
            <w:noWrap w:val="false"/>
          </w:tcPr>
          <w:p>
            <w:pPr>
              <w:ind w:left="-107" w:right="-9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</w:tr>
      <w:tr>
        <w:trPr>
          <w:trHeight w:val="300"/>
        </w:trPr>
        <w:tc>
          <w:tcPr>
            <w:gridSpan w:val="1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результатов выполнения мероприятий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муниципальной программы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7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защита населения»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4677"/>
        <w:gridCol w:w="1134"/>
        <w:gridCol w:w="4538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27" w:right="-22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Количество детей, участвующих в мероприятиях по организации отдыха детей в каникулярное время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предоставленной информации управления по образованию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муниципальных учреждений, оказывающих услугу, связанную с организацией отдыха и оздоровление детей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предоставленной информации управления по образованию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учреждений, осуществляющих 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53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предоставленной информации управления по образованию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000000"/>
          <w:sz w:val="20"/>
          <w:szCs w:val="20"/>
          <w:u w:val="none"/>
        </w:rPr>
      </w:pPr>
      <w:r>
        <w:rPr>
          <w:rFonts w:ascii="Times New Roman" w:hAnsi="Times New Roman" w:eastAsia="SimSun" w:cs="Times New Roman"/>
          <w:color w:val="000000"/>
          <w:sz w:val="20"/>
          <w:szCs w:val="20"/>
          <w:highlight w:val="none"/>
          <w:lang w:eastAsia="zh-CN" w:bidi="ar"/>
        </w:rPr>
      </w:r>
      <w:r>
        <w:rPr>
          <w:rStyle w:val="825"/>
          <w:rFonts w:ascii="Times New Roman" w:hAnsi="Times New Roman" w:cs="Times New Roman"/>
          <w:color w:val="000000"/>
          <w:sz w:val="20"/>
          <w:szCs w:val="20"/>
          <w:u w:val="none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eastAsia="SimSun" w:cs="Times New Roman"/>
          <w:color w:val="000000"/>
          <w:sz w:val="24"/>
          <w:szCs w:val="24"/>
          <w:highlight w:val="none"/>
          <w:lang w:eastAsia="zh-CN" w:bidi="ar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4 «Содействие занятости населения, развития трудовых ресурсов и охраны труда»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2"/>
        <w:gridCol w:w="4110"/>
        <w:gridCol w:w="992"/>
        <w:gridCol w:w="992"/>
        <w:gridCol w:w="992"/>
        <w:gridCol w:w="995"/>
        <w:gridCol w:w="990"/>
        <w:gridCol w:w="711"/>
      </w:tblGrid>
      <w:tr>
        <w:trPr>
          <w:trHeight w:val="20"/>
        </w:trPr>
        <w:tc>
          <w:tcPr>
            <w:tcW w:w="2694" w:type="dxa"/>
            <w:textDirection w:val="lrTb"/>
            <w:noWrap w:val="false"/>
          </w:tcPr>
          <w:p>
            <w:pPr>
              <w:ind w:left="-137" w:right="-108" w:firstLine="13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-108" w:right="-108" w:firstLine="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5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pPr>
              <w:ind w:left="-108" w:right="-108" w:firstLine="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 w:firstLine="0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 w:firstLine="0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4 «Содействие занятости населения, развития трудовых ресурсов и охраны труда»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"/>
        <w:gridCol w:w="2572"/>
        <w:gridCol w:w="1559"/>
        <w:gridCol w:w="2409"/>
        <w:gridCol w:w="719"/>
        <w:gridCol w:w="698"/>
        <w:gridCol w:w="709"/>
        <w:gridCol w:w="567"/>
        <w:gridCol w:w="567"/>
        <w:gridCol w:w="567"/>
        <w:gridCol w:w="425"/>
        <w:gridCol w:w="709"/>
        <w:gridCol w:w="709"/>
        <w:gridCol w:w="709"/>
        <w:gridCol w:w="1846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Основное мероприятие 03. Профилактика производственного травматизма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ind w:left="-108" w:right="-113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03.02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5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572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left="-108" w:right="-5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0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1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9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tbl>
      <w:tblPr>
        <w:tblpPr w:horzAnchor="margin" w:tblpXSpec="left" w:vertAnchor="text" w:tblpY="8" w:leftFromText="180" w:topFromText="0" w:rightFromText="180" w:bottomFromText="0"/>
        <w:tblW w:w="15186" w:type="dxa"/>
        <w:tblLayout w:type="fixed"/>
        <w:tblLook w:val="04A0" w:firstRow="1" w:lastRow="0" w:firstColumn="1" w:lastColumn="0" w:noHBand="0" w:noVBand="1"/>
      </w:tblPr>
      <w:tblGrid>
        <w:gridCol w:w="15186"/>
      </w:tblGrid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результатов выполнения мероприятий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муниципальной программы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31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защита населения»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tabs>
          <w:tab w:val="left" w:pos="65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4110"/>
        <w:gridCol w:w="1134"/>
        <w:gridCol w:w="5105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39" w:right="-10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105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Численность пострадавших в результате несчастных случаев, связанных с производством со смертельным исходом (по кругу организаций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муниципальной собственности)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Style w:val="82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5 «Обеспечивающая подпрограмма»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692"/>
        <w:gridCol w:w="3545"/>
        <w:gridCol w:w="993"/>
        <w:gridCol w:w="992"/>
        <w:gridCol w:w="992"/>
        <w:gridCol w:w="992"/>
        <w:gridCol w:w="993"/>
        <w:gridCol w:w="1134"/>
      </w:tblGrid>
      <w:tr>
        <w:trPr>
          <w:trHeight w:val="20"/>
        </w:trPr>
        <w:tc>
          <w:tcPr>
            <w:tcW w:w="2835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-11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5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60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2692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5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ind w:left="-113" w:right="-113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1 947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1 947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5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8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2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5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31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32" w:right="-8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SimSun" w:cs="Times New Roman"/>
          <w:color w:val="000000"/>
          <w:sz w:val="20"/>
          <w:szCs w:val="20"/>
          <w:highlight w:val="none"/>
          <w:lang w:eastAsia="zh-CN" w:bidi="ar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5 «Обеспечивающая подпрограмма»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1559"/>
        <w:gridCol w:w="2409"/>
        <w:gridCol w:w="1134"/>
        <w:gridCol w:w="992"/>
        <w:gridCol w:w="992"/>
        <w:gridCol w:w="992"/>
        <w:gridCol w:w="992"/>
        <w:gridCol w:w="993"/>
        <w:gridCol w:w="1987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7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11 947,00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делам несовершенно-летних и защите их прав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11 947,00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ind w:left="-108" w:right="-7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03.02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11 947,00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делам несовершенно-летних и защите их прав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11 947,00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2 411,00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2 426,00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2 383,00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1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restart"/>
            <w:textDirection w:val="lrTb"/>
            <w:noWrap w:val="false"/>
          </w:tcPr>
          <w:p>
            <w:pPr>
              <w:ind w:left="-10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11 947,00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2 411,00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2 426,00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2 383,00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делам несовершенно-летних и защите их прав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11 947,00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2 335,00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2 392,00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98" w:right="-113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2 411,00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3" w:right="-109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2 426,00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7" w:right="-9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2 383,00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7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1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ind w:left="-108" w:right="-8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6 «Развитие и поддержка социально ориентированных некоммерческих организаций»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3969"/>
        <w:gridCol w:w="850"/>
        <w:gridCol w:w="851"/>
        <w:gridCol w:w="850"/>
        <w:gridCol w:w="851"/>
        <w:gridCol w:w="850"/>
        <w:gridCol w:w="993"/>
      </w:tblGrid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7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17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5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ind w:lef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6 «Развитие и поддержка социально ориентированных некоммерческих организаций»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"/>
        <w:gridCol w:w="2185"/>
        <w:gridCol w:w="1503"/>
        <w:gridCol w:w="2704"/>
        <w:gridCol w:w="850"/>
        <w:gridCol w:w="709"/>
        <w:gridCol w:w="709"/>
        <w:gridCol w:w="567"/>
        <w:gridCol w:w="567"/>
        <w:gridCol w:w="567"/>
        <w:gridCol w:w="425"/>
        <w:gridCol w:w="709"/>
        <w:gridCol w:w="709"/>
        <w:gridCol w:w="709"/>
        <w:gridCol w:w="1843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vMerge w:val="restart"/>
            <w:textDirection w:val="lrTb"/>
            <w:noWrap w:val="false"/>
          </w:tcPr>
          <w:p>
            <w:pPr>
              <w:ind w:left="-108" w:right="-7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Основное мероприятие 02. Осуществление имущественной, информационной и консультационной поддержки СО 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02.01 Предоставление имущественной и консультационной поддержки СО НКО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СО НКО, получивших имущественную и консультационную поддержки,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270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6"/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02.02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none" w:color="000000" w:sz="4" w:space="0"/>
            </w:tcBorders>
            <w:tcW w:w="2186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деятельности, 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W w:w="2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Итого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auto" w:sz="4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1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none" w:color="000000" w:sz="4" w:space="0"/>
            </w:tcBorders>
            <w:tcW w:w="2186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50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2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1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администрации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368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704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определения результатов выполнения мероприятий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программы городского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tabs>
          <w:tab w:val="left" w:pos="9165" w:leader="none"/>
          <w:tab w:val="left" w:pos="9705" w:leader="none"/>
          <w:tab w:val="left" w:pos="1033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4252"/>
        <w:gridCol w:w="1276"/>
        <w:gridCol w:w="4822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1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СО НКО, получивших имущественную и консультационную поддержки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СО НКО, получивших имущественную и консультационную поддержки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82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результата указывается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СО НКО, получивших информационную поддержку,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SimSun" w:cs="Times New Roman"/>
          <w:color w:val="000000"/>
          <w:sz w:val="20"/>
          <w:szCs w:val="20"/>
          <w:highlight w:val="none"/>
          <w:lang w:eastAsia="zh-CN" w:bidi="ar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подпрограммы 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7 «Обеспечение доступности для инвалидов и маломобильных групп населения объектов инфраструктуры и услуг»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4110"/>
        <w:gridCol w:w="992"/>
        <w:gridCol w:w="992"/>
        <w:gridCol w:w="992"/>
        <w:gridCol w:w="992"/>
        <w:gridCol w:w="992"/>
        <w:gridCol w:w="711"/>
      </w:tblGrid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заказчик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23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распорядитель 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6"/>
            <w:tcW w:w="5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Times New Roman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852"/>
              <w:ind w:left="-108" w:right="-108"/>
              <w:jc w:val="center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iryo UI" w:cs="Times New Roman"/>
                <w:color w:val="000000"/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-113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-108" w:right="-108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7 «Обеспечение доступности для инвалидов и маломобильных групп населения объектов инфраструктуры и услуг»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408"/>
        <w:gridCol w:w="1560"/>
        <w:gridCol w:w="2409"/>
        <w:gridCol w:w="709"/>
        <w:gridCol w:w="709"/>
        <w:gridCol w:w="709"/>
        <w:gridCol w:w="567"/>
        <w:gridCol w:w="567"/>
        <w:gridCol w:w="496"/>
        <w:gridCol w:w="638"/>
        <w:gridCol w:w="709"/>
        <w:gridCol w:w="709"/>
        <w:gridCol w:w="709"/>
        <w:gridCol w:w="1845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7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Мероприятие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86" w:right="-167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Сроки исполнения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7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Всего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34" w:right="-83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Объем финансирования по годам (тыс. руб.)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Ответственный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за выполнение мероприятия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5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Мероприятие 01.01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2023-2027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7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-108" w:right="-13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объектов, процент (с нарастающим итогом)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46"/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6"/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7"/>
        </w:trPr>
        <w:tc>
          <w:tcPr>
            <w:shd w:val="clear" w:color="ffffff" w:fill="ffffff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квартал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 полугодие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9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12 месяцев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2" w:space="0"/>
              <w:right w:val="single" w:color="000000" w:sz="2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right="-134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24"/>
                <w:szCs w:val="24"/>
                <w:lang w:eastAsia="zh-CN" w:bidi="ar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89,8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81,8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83,8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96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8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83,8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85,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подпрограмме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ind w:left="-108" w:right="-7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Серебряные Пруды Московской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Московской области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федерального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Средства бюджета городского округа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2409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определения результатов выполнения мероприятий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программы городского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pStyle w:val="847"/>
        <w:ind w:left="0"/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9165" w:leader="none"/>
          <w:tab w:val="left" w:pos="9705" w:leader="none"/>
          <w:tab w:val="left" w:pos="1033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3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417"/>
        <w:gridCol w:w="1417"/>
        <w:gridCol w:w="1843"/>
        <w:gridCol w:w="1134"/>
        <w:gridCol w:w="7373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113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36" w:right="-79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подпрограммы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8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7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значений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40" w:right="-141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7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108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737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296639</wp:posOffset>
                      </wp:positionV>
                      <wp:extent cx="990600" cy="295275"/>
                      <wp:effectExtent l="0" t="0" r="0" b="9525"/>
                      <wp:wrapNone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9839077" name="image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0598" cy="29527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57728;o:allowoverlap:true;o:allowincell:true;mso-position-horizontal-relative:text;margin-left:226.9pt;mso-position-horizontal:absolute;mso-position-vertical-relative:text;margin-top:23.4pt;mso-position-vertical:absolute;width:78.0pt;height:23.2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формуле:                      где:  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Ддо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Nипо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Nоко – общее количество муниципальных объектов на территории муниципального образования.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Meiryo UI">
    <w:panose1 w:val="020B0604030504040204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5" w:firstLine="0"/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9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40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41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43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44">
    <w:name w:val="Subtitle Char"/>
    <w:basedOn w:val="659"/>
    <w:link w:val="672"/>
    <w:uiPriority w:val="11"/>
    <w:rPr>
      <w:sz w:val="24"/>
      <w:szCs w:val="24"/>
    </w:rPr>
  </w:style>
  <w:style w:type="character" w:styleId="645">
    <w:name w:val="Quote Char"/>
    <w:link w:val="674"/>
    <w:uiPriority w:val="29"/>
    <w:rPr>
      <w:i/>
    </w:rPr>
  </w:style>
  <w:style w:type="character" w:styleId="646">
    <w:name w:val="Intense Quote Char"/>
    <w:link w:val="676"/>
    <w:uiPriority w:val="30"/>
    <w:rPr>
      <w:i/>
    </w:rPr>
  </w:style>
  <w:style w:type="character" w:styleId="647">
    <w:name w:val="Footnote Text Char"/>
    <w:link w:val="807"/>
    <w:uiPriority w:val="99"/>
    <w:rPr>
      <w:sz w:val="18"/>
    </w:rPr>
  </w:style>
  <w:style w:type="character" w:styleId="648">
    <w:name w:val="Endnote Text Char"/>
    <w:link w:val="810"/>
    <w:uiPriority w:val="99"/>
    <w:rPr>
      <w:sz w:val="20"/>
    </w:rPr>
  </w:style>
  <w:style w:type="paragraph" w:styleId="649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50">
    <w:name w:val="Heading 1"/>
    <w:basedOn w:val="649"/>
    <w:next w:val="649"/>
    <w:link w:val="834"/>
    <w:uiPriority w:val="9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51">
    <w:name w:val="Heading 2"/>
    <w:basedOn w:val="649"/>
    <w:next w:val="649"/>
    <w:link w:val="83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2">
    <w:name w:val="Heading 3"/>
    <w:basedOn w:val="649"/>
    <w:next w:val="649"/>
    <w:link w:val="836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53">
    <w:name w:val="Heading 4"/>
    <w:basedOn w:val="652"/>
    <w:next w:val="649"/>
    <w:link w:val="837"/>
    <w:uiPriority w:val="99"/>
    <w:semiHidden/>
    <w:unhideWhenUsed/>
    <w:qFormat/>
    <w:pPr>
      <w:jc w:val="center"/>
      <w:keepLines w:val="0"/>
      <w:keepNext w:val="0"/>
      <w:spacing w:before="108" w:after="108" w:line="240" w:lineRule="auto"/>
      <w:widowControl w:val="off"/>
      <w:outlineLvl w:val="3"/>
    </w:pPr>
    <w:rPr>
      <w:rFonts w:ascii="Arial" w:hAnsi="Arial" w:cs="Arial" w:eastAsiaTheme="minorEastAsia"/>
      <w:color w:val="26282f"/>
      <w:sz w:val="24"/>
      <w:szCs w:val="24"/>
      <w:lang w:eastAsia="ru-RU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Heading 1 Char"/>
    <w:basedOn w:val="659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59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59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59"/>
    <w:uiPriority w:val="10"/>
    <w:rPr>
      <w:sz w:val="48"/>
      <w:szCs w:val="48"/>
    </w:rPr>
  </w:style>
  <w:style w:type="paragraph" w:styleId="672">
    <w:name w:val="Subtitle"/>
    <w:basedOn w:val="649"/>
    <w:next w:val="649"/>
    <w:link w:val="673"/>
    <w:uiPriority w:val="11"/>
    <w:qFormat/>
    <w:pPr>
      <w:spacing w:before="200"/>
    </w:pPr>
    <w:rPr>
      <w:sz w:val="24"/>
      <w:szCs w:val="24"/>
    </w:rPr>
  </w:style>
  <w:style w:type="character" w:styleId="673" w:customStyle="1">
    <w:name w:val="Подзаголовок Знак"/>
    <w:basedOn w:val="659"/>
    <w:link w:val="672"/>
    <w:uiPriority w:val="11"/>
    <w:rPr>
      <w:sz w:val="24"/>
      <w:szCs w:val="24"/>
    </w:rPr>
  </w:style>
  <w:style w:type="paragraph" w:styleId="674">
    <w:name w:val="Quote"/>
    <w:basedOn w:val="649"/>
    <w:next w:val="649"/>
    <w:link w:val="675"/>
    <w:uiPriority w:val="29"/>
    <w:qFormat/>
    <w:pPr>
      <w:ind w:left="720" w:right="720"/>
    </w:pPr>
    <w:rPr>
      <w:i/>
    </w:rPr>
  </w:style>
  <w:style w:type="character" w:styleId="675" w:customStyle="1">
    <w:name w:val="Цитата 2 Знак"/>
    <w:link w:val="674"/>
    <w:uiPriority w:val="29"/>
    <w:rPr>
      <w:i/>
    </w:rPr>
  </w:style>
  <w:style w:type="paragraph" w:styleId="676">
    <w:name w:val="Intense Quote"/>
    <w:basedOn w:val="649"/>
    <w:next w:val="649"/>
    <w:link w:val="6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 w:customStyle="1">
    <w:name w:val="Выделенная цитата Знак"/>
    <w:link w:val="676"/>
    <w:uiPriority w:val="30"/>
    <w:rPr>
      <w:i/>
    </w:rPr>
  </w:style>
  <w:style w:type="character" w:styleId="678" w:customStyle="1">
    <w:name w:val="Header Char"/>
    <w:basedOn w:val="659"/>
    <w:uiPriority w:val="99"/>
  </w:style>
  <w:style w:type="character" w:styleId="679" w:customStyle="1">
    <w:name w:val="Footer Char"/>
    <w:basedOn w:val="659"/>
    <w:uiPriority w:val="99"/>
  </w:style>
  <w:style w:type="paragraph" w:styleId="680">
    <w:name w:val="Caption"/>
    <w:basedOn w:val="649"/>
    <w:next w:val="64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1" w:customStyle="1">
    <w:name w:val="Caption Char"/>
    <w:uiPriority w:val="99"/>
  </w:style>
  <w:style w:type="table" w:styleId="682" w:customStyle="1">
    <w:name w:val="Table Grid Light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3">
    <w:name w:val="Plain Table 1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6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6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6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4 - Accent 1"/>
    <w:basedOn w:val="66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1" w:customStyle="1">
    <w:name w:val="Grid Table 4 - Accent 2"/>
    <w:basedOn w:val="66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2" w:customStyle="1">
    <w:name w:val="Grid Table 4 - Accent 3"/>
    <w:basedOn w:val="66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3" w:customStyle="1">
    <w:name w:val="Grid Table 4 - Accent 4"/>
    <w:basedOn w:val="66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4" w:customStyle="1">
    <w:name w:val="Grid Table 4 - Accent 5"/>
    <w:basedOn w:val="66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5" w:customStyle="1">
    <w:name w:val="Grid Table 4 - Accent 6"/>
    <w:basedOn w:val="66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6">
    <w:name w:val="Grid Table 5 Dark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1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2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3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4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5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6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3">
    <w:name w:val="Grid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4" w:customStyle="1">
    <w:name w:val="Grid Table 6 Colorful - Accent 1"/>
    <w:basedOn w:val="66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5" w:customStyle="1">
    <w:name w:val="Grid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6" w:customStyle="1">
    <w:name w:val="Grid Table 6 Colorful - Accent 3"/>
    <w:basedOn w:val="66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7" w:customStyle="1">
    <w:name w:val="Grid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8" w:customStyle="1">
    <w:name w:val="Grid Table 6 Colorful - Accent 5"/>
    <w:basedOn w:val="66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9" w:customStyle="1">
    <w:name w:val="Grid Table 6 Colorful - Accent 6"/>
    <w:basedOn w:val="66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0">
    <w:name w:val="Grid Table 7 Colorful"/>
    <w:basedOn w:val="6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1"/>
    <w:basedOn w:val="66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5"/>
    <w:basedOn w:val="66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6"/>
    <w:basedOn w:val="66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6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1"/>
    <w:basedOn w:val="66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2"/>
    <w:basedOn w:val="66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3"/>
    <w:basedOn w:val="66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4"/>
    <w:basedOn w:val="66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5"/>
    <w:basedOn w:val="66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6"/>
    <w:basedOn w:val="66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6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6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1"/>
    <w:basedOn w:val="66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>
    <w:name w:val="List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List Table 6 Colorful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4" w:customStyle="1">
    <w:name w:val="List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List Table 6 Colorful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6" w:customStyle="1">
    <w:name w:val="List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List Table 6 Colorful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8" w:customStyle="1">
    <w:name w:val="List Table 6 Colorful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9">
    <w:name w:val="List Table 7 Colorful"/>
    <w:basedOn w:val="6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1"/>
    <w:basedOn w:val="66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2"/>
    <w:basedOn w:val="66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3"/>
    <w:basedOn w:val="66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4"/>
    <w:basedOn w:val="66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5"/>
    <w:basedOn w:val="66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6"/>
    <w:basedOn w:val="66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ned - Accent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Lined - Accent 1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Lined - Accent 2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Lined - Accent 3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Lined - Accent 4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Lined - Accent 5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Lined - Accent 6"/>
    <w:basedOn w:val="6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 &amp; Lined - Accent"/>
    <w:basedOn w:val="66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Bordered &amp; Lined - Accent 1"/>
    <w:basedOn w:val="66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Bordered &amp; Lined - Accent 2"/>
    <w:basedOn w:val="66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Bordered &amp; Lined - Accent 3"/>
    <w:basedOn w:val="66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Bordered &amp; Lined - Accent 4"/>
    <w:basedOn w:val="66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Bordered &amp; Lined - Accent 5"/>
    <w:basedOn w:val="66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Bordered &amp; Lined - Accent 6"/>
    <w:basedOn w:val="66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"/>
    <w:basedOn w:val="6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1" w:customStyle="1">
    <w:name w:val="Bordered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2" w:customStyle="1">
    <w:name w:val="Bordered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3" w:customStyle="1">
    <w:name w:val="Bordered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4" w:customStyle="1">
    <w:name w:val="Bordered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5" w:customStyle="1">
    <w:name w:val="Bordered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6" w:customStyle="1">
    <w:name w:val="Bordered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07">
    <w:name w:val="footnote text"/>
    <w:basedOn w:val="649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 w:customStyle="1">
    <w:name w:val="Текст сноски Знак"/>
    <w:link w:val="807"/>
    <w:uiPriority w:val="99"/>
    <w:rPr>
      <w:sz w:val="18"/>
    </w:rPr>
  </w:style>
  <w:style w:type="character" w:styleId="809">
    <w:name w:val="footnote reference"/>
    <w:basedOn w:val="659"/>
    <w:uiPriority w:val="99"/>
    <w:unhideWhenUsed/>
    <w:rPr>
      <w:vertAlign w:val="superscript"/>
    </w:rPr>
  </w:style>
  <w:style w:type="paragraph" w:styleId="810">
    <w:name w:val="endnote text"/>
    <w:basedOn w:val="649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 w:customStyle="1">
    <w:name w:val="Текст концевой сноски Знак"/>
    <w:link w:val="810"/>
    <w:uiPriority w:val="99"/>
    <w:rPr>
      <w:sz w:val="20"/>
    </w:rPr>
  </w:style>
  <w:style w:type="character" w:styleId="812">
    <w:name w:val="endnote reference"/>
    <w:basedOn w:val="659"/>
    <w:uiPriority w:val="99"/>
    <w:semiHidden/>
    <w:unhideWhenUsed/>
    <w:rPr>
      <w:vertAlign w:val="superscript"/>
    </w:rPr>
  </w:style>
  <w:style w:type="paragraph" w:styleId="813">
    <w:name w:val="toc 1"/>
    <w:basedOn w:val="649"/>
    <w:next w:val="649"/>
    <w:uiPriority w:val="39"/>
    <w:unhideWhenUsed/>
    <w:pPr>
      <w:spacing w:after="57"/>
    </w:pPr>
  </w:style>
  <w:style w:type="paragraph" w:styleId="814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15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16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17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18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19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0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1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649"/>
    <w:next w:val="649"/>
    <w:uiPriority w:val="99"/>
    <w:unhideWhenUsed/>
    <w:pPr>
      <w:spacing w:after="0"/>
    </w:pPr>
  </w:style>
  <w:style w:type="character" w:styleId="824">
    <w:name w:val="FollowedHyperlink"/>
    <w:basedOn w:val="659"/>
    <w:uiPriority w:val="99"/>
    <w:semiHidden/>
    <w:unhideWhenUsed/>
    <w:qFormat/>
    <w:rPr>
      <w:color w:val="954f72" w:themeColor="followedHyperlink"/>
      <w:u w:val="single"/>
    </w:rPr>
  </w:style>
  <w:style w:type="character" w:styleId="825">
    <w:name w:val="Hyperlink"/>
    <w:basedOn w:val="659"/>
    <w:uiPriority w:val="99"/>
    <w:semiHidden/>
    <w:unhideWhenUsed/>
    <w:qFormat/>
    <w:rPr>
      <w:color w:val="0000ff"/>
      <w:u w:val="single"/>
    </w:rPr>
  </w:style>
  <w:style w:type="paragraph" w:styleId="826">
    <w:name w:val="Balloon Text"/>
    <w:basedOn w:val="649"/>
    <w:link w:val="84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27">
    <w:name w:val="annotation text"/>
    <w:basedOn w:val="649"/>
    <w:link w:val="83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28">
    <w:name w:val="annotation subject"/>
    <w:basedOn w:val="827"/>
    <w:next w:val="827"/>
    <w:link w:val="843"/>
    <w:uiPriority w:val="99"/>
    <w:semiHidden/>
    <w:unhideWhenUsed/>
    <w:qFormat/>
    <w:rPr>
      <w:b/>
      <w:bCs/>
    </w:rPr>
  </w:style>
  <w:style w:type="paragraph" w:styleId="829">
    <w:name w:val="Header"/>
    <w:basedOn w:val="649"/>
    <w:link w:val="839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830">
    <w:name w:val="Body Text"/>
    <w:basedOn w:val="649"/>
    <w:link w:val="842"/>
    <w:uiPriority w:val="99"/>
    <w:semiHidden/>
    <w:unhideWhenUsed/>
    <w:qFormat/>
    <w:pPr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831">
    <w:name w:val="Title"/>
    <w:basedOn w:val="649"/>
    <w:next w:val="649"/>
    <w:link w:val="841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32">
    <w:name w:val="Footer"/>
    <w:basedOn w:val="649"/>
    <w:link w:val="84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table" w:styleId="833">
    <w:name w:val="Table Grid"/>
    <w:basedOn w:val="660"/>
    <w:uiPriority w:val="39"/>
    <w:qFormat/>
    <w:pPr>
      <w:jc w:val="both"/>
    </w:pPr>
    <w:rPr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 w:customStyle="1">
    <w:name w:val="Заголовок 1 Знак"/>
    <w:basedOn w:val="659"/>
    <w:link w:val="650"/>
    <w:uiPriority w:val="99"/>
    <w:qFormat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35" w:customStyle="1">
    <w:name w:val="Заголовок 2 Знак"/>
    <w:basedOn w:val="659"/>
    <w:link w:val="651"/>
    <w:uiPriority w:val="9"/>
    <w:qFormat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36" w:customStyle="1">
    <w:name w:val="Заголовок 3 Знак"/>
    <w:basedOn w:val="659"/>
    <w:link w:val="652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37" w:customStyle="1">
    <w:name w:val="Заголовок 4 Знак"/>
    <w:basedOn w:val="659"/>
    <w:link w:val="653"/>
    <w:uiPriority w:val="99"/>
    <w:semiHidden/>
    <w:qFormat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38" w:customStyle="1">
    <w:name w:val="Текст примечания Знак"/>
    <w:basedOn w:val="659"/>
    <w:link w:val="827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839" w:customStyle="1">
    <w:name w:val="Верхний колонтитул Знак"/>
    <w:basedOn w:val="659"/>
    <w:link w:val="829"/>
    <w:uiPriority w:val="99"/>
    <w:qFormat/>
    <w:rPr>
      <w:rFonts w:ascii="Calibri" w:hAnsi="Calibri" w:eastAsia="Calibri" w:cs="Times New Roman"/>
    </w:rPr>
  </w:style>
  <w:style w:type="character" w:styleId="840" w:customStyle="1">
    <w:name w:val="Нижний колонтитул Знак"/>
    <w:basedOn w:val="659"/>
    <w:link w:val="832"/>
    <w:uiPriority w:val="99"/>
    <w:qFormat/>
    <w:rPr>
      <w:rFonts w:ascii="Calibri" w:hAnsi="Calibri" w:eastAsia="Calibri" w:cs="Times New Roman"/>
    </w:rPr>
  </w:style>
  <w:style w:type="character" w:styleId="841" w:customStyle="1">
    <w:name w:val="Название Знак"/>
    <w:basedOn w:val="659"/>
    <w:link w:val="831"/>
    <w:uiPriority w:val="10"/>
    <w:qFormat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2" w:customStyle="1">
    <w:name w:val="Основной текст Знак"/>
    <w:basedOn w:val="659"/>
    <w:link w:val="830"/>
    <w:uiPriority w:val="99"/>
    <w:semiHidden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3" w:customStyle="1">
    <w:name w:val="Тема примечания Знак"/>
    <w:basedOn w:val="838"/>
    <w:link w:val="828"/>
    <w:uiPriority w:val="99"/>
    <w:semiHidden/>
    <w:qFormat/>
    <w:rPr>
      <w:rFonts w:ascii="Calibri" w:hAnsi="Calibri" w:eastAsia="Calibri" w:cs="Times New Roman"/>
      <w:b/>
      <w:bCs/>
      <w:sz w:val="20"/>
      <w:szCs w:val="20"/>
    </w:rPr>
  </w:style>
  <w:style w:type="character" w:styleId="844" w:customStyle="1">
    <w:name w:val="Текст выноски Знак"/>
    <w:basedOn w:val="659"/>
    <w:link w:val="826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45" w:customStyle="1">
    <w:name w:val="Без интервала Знак"/>
    <w:link w:val="846"/>
    <w:uiPriority w:val="1"/>
    <w:qFormat/>
    <w:rPr>
      <w:rFonts w:ascii="Calibri" w:hAnsi="Calibri" w:eastAsia="Calibri" w:cs="Times New Roman"/>
    </w:rPr>
  </w:style>
  <w:style w:type="paragraph" w:styleId="846">
    <w:name w:val="No Spacing"/>
    <w:link w:val="845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47">
    <w:name w:val="List Paragraph"/>
    <w:basedOn w:val="649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848" w:customStyle="1">
    <w:name w:val="ConsPlusCell"/>
    <w:uiPriority w:val="99"/>
    <w:semiHidden/>
    <w:qFormat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849" w:customStyle="1">
    <w:name w:val="Прижатый влево"/>
    <w:basedOn w:val="649"/>
    <w:next w:val="649"/>
    <w:uiPriority w:val="99"/>
    <w:semiHidden/>
    <w:qFormat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50" w:customStyle="1">
    <w:name w:val="Базовый"/>
    <w:uiPriority w:val="99"/>
    <w:semiHidden/>
    <w:qFormat/>
    <w:pPr>
      <w:spacing w:line="100" w:lineRule="atLeast"/>
    </w:pPr>
    <w:rPr>
      <w:rFonts w:eastAsia="Times New Roman"/>
      <w:sz w:val="24"/>
      <w:szCs w:val="24"/>
    </w:rPr>
  </w:style>
  <w:style w:type="character" w:styleId="851" w:customStyle="1">
    <w:name w:val="ConsPlusNormal Знак"/>
    <w:basedOn w:val="659"/>
    <w:link w:val="852"/>
    <w:qFormat/>
    <w:rPr>
      <w:rFonts w:ascii="Calibri" w:hAnsi="Calibri" w:eastAsia="Times New Roman" w:cs="Calibri"/>
      <w:lang w:eastAsia="ru-RU"/>
    </w:rPr>
  </w:style>
  <w:style w:type="paragraph" w:styleId="852" w:customStyle="1">
    <w:name w:val="ConsPlusNormal"/>
    <w:link w:val="851"/>
    <w:qFormat/>
    <w:pPr>
      <w:widowControl w:val="off"/>
    </w:pPr>
    <w:rPr>
      <w:rFonts w:ascii="Calibri" w:hAnsi="Calibri" w:eastAsia="Times New Roman" w:cs="Calibri"/>
      <w:sz w:val="22"/>
      <w:szCs w:val="22"/>
    </w:rPr>
  </w:style>
  <w:style w:type="character" w:styleId="853" w:customStyle="1">
    <w:name w:val="Основной текст (2)_"/>
    <w:link w:val="854"/>
    <w:uiPriority w:val="99"/>
    <w:semiHidden/>
    <w:qFormat/>
    <w:rPr>
      <w:sz w:val="26"/>
      <w:szCs w:val="26"/>
      <w:shd w:val="clear" w:color="auto" w:fill="ffffff"/>
    </w:rPr>
  </w:style>
  <w:style w:type="paragraph" w:styleId="854" w:customStyle="1">
    <w:name w:val="Основной текст (2)"/>
    <w:basedOn w:val="649"/>
    <w:link w:val="853"/>
    <w:uiPriority w:val="99"/>
    <w:semiHidden/>
    <w:qFormat/>
    <w:pPr>
      <w:jc w:val="center"/>
      <w:spacing w:after="180" w:line="353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6"/>
      <w:szCs w:val="26"/>
    </w:rPr>
  </w:style>
  <w:style w:type="paragraph" w:styleId="855" w:customStyle="1">
    <w:name w:val="text1cl"/>
    <w:basedOn w:val="649"/>
    <w:uiPriority w:val="99"/>
    <w:semiHidden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Основной текст_"/>
    <w:link w:val="857"/>
    <w:semiHidden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857" w:customStyle="1">
    <w:name w:val="Основной текст1"/>
    <w:basedOn w:val="649"/>
    <w:link w:val="856"/>
    <w:semiHidden/>
    <w:qFormat/>
    <w:pPr>
      <w:spacing w:after="0" w:line="326" w:lineRule="exact"/>
      <w:shd w:val="clear" w:color="auto" w:fill="ffffff"/>
    </w:pPr>
    <w:rPr>
      <w:rFonts w:ascii="Times New Roman" w:hAnsi="Times New Roman" w:eastAsiaTheme="minorHAnsi"/>
      <w:sz w:val="26"/>
      <w:szCs w:val="26"/>
    </w:rPr>
  </w:style>
  <w:style w:type="character" w:styleId="858" w:customStyle="1">
    <w:name w:val="Основной текст (5)_"/>
    <w:link w:val="859"/>
    <w:uiPriority w:val="99"/>
    <w:semiHidden/>
    <w:qFormat/>
    <w:rPr>
      <w:sz w:val="19"/>
      <w:szCs w:val="19"/>
      <w:shd w:val="clear" w:color="auto" w:fill="ffffff"/>
    </w:rPr>
  </w:style>
  <w:style w:type="paragraph" w:styleId="859" w:customStyle="1">
    <w:name w:val="Основной текст (5)"/>
    <w:basedOn w:val="649"/>
    <w:link w:val="858"/>
    <w:uiPriority w:val="99"/>
    <w:semiHidden/>
    <w:qFormat/>
    <w:pPr>
      <w:jc w:val="both"/>
      <w:spacing w:after="0" w:line="240" w:lineRule="atLeast"/>
      <w:shd w:val="clear" w:color="auto" w:fill="ffffff"/>
    </w:pPr>
    <w:rPr>
      <w:rFonts w:asciiTheme="minorHAnsi" w:hAnsiTheme="minorHAnsi" w:eastAsiaTheme="minorHAnsi" w:cstheme="minorBidi"/>
      <w:sz w:val="19"/>
      <w:szCs w:val="19"/>
    </w:rPr>
  </w:style>
  <w:style w:type="character" w:styleId="860" w:customStyle="1">
    <w:name w:val="Текст примечания Знак1"/>
    <w:basedOn w:val="659"/>
    <w:uiPriority w:val="99"/>
    <w:semiHidden/>
    <w:qFormat/>
    <w:rPr>
      <w:rFonts w:hint="default" w:ascii="Calibri" w:hAnsi="Calibri" w:eastAsia="Calibri" w:cs="Times New Roman"/>
      <w:sz w:val="20"/>
      <w:szCs w:val="20"/>
    </w:rPr>
  </w:style>
  <w:style w:type="character" w:styleId="861" w:customStyle="1">
    <w:name w:val="Верхний колонтитул Знак1"/>
    <w:basedOn w:val="659"/>
    <w:uiPriority w:val="99"/>
    <w:semiHidden/>
    <w:qFormat/>
    <w:rPr>
      <w:rFonts w:hint="default" w:ascii="Calibri" w:hAnsi="Calibri" w:eastAsia="Calibri" w:cs="Times New Roman"/>
    </w:rPr>
  </w:style>
  <w:style w:type="character" w:styleId="862" w:customStyle="1">
    <w:name w:val="Нижний колонтитул Знак1"/>
    <w:basedOn w:val="659"/>
    <w:uiPriority w:val="99"/>
    <w:semiHidden/>
    <w:qFormat/>
    <w:rPr>
      <w:rFonts w:hint="default" w:ascii="Calibri" w:hAnsi="Calibri" w:eastAsia="Calibri" w:cs="Times New Roman"/>
    </w:rPr>
  </w:style>
  <w:style w:type="character" w:styleId="863" w:customStyle="1">
    <w:name w:val="Тема примечания Знак1"/>
    <w:basedOn w:val="860"/>
    <w:uiPriority w:val="99"/>
    <w:semiHidden/>
    <w:qFormat/>
    <w:rPr>
      <w:rFonts w:hint="default" w:ascii="Calibri" w:hAnsi="Calibri" w:eastAsia="Calibri" w:cs="Times New Roman"/>
      <w:b/>
      <w:bCs/>
      <w:sz w:val="20"/>
      <w:szCs w:val="20"/>
    </w:rPr>
  </w:style>
  <w:style w:type="character" w:styleId="864" w:customStyle="1">
    <w:name w:val="Текст выноски Знак1"/>
    <w:basedOn w:val="659"/>
    <w:uiPriority w:val="99"/>
    <w:semiHidden/>
    <w:qFormat/>
    <w:rPr>
      <w:rFonts w:hint="default" w:ascii="Segoe UI" w:hAnsi="Segoe UI" w:eastAsia="Calibri" w:cs="Segoe UI"/>
      <w:sz w:val="18"/>
      <w:szCs w:val="18"/>
    </w:rPr>
  </w:style>
  <w:style w:type="character" w:styleId="865" w:customStyle="1">
    <w:name w:val="Гипертекстовая ссылка"/>
    <w:uiPriority w:val="99"/>
    <w:qFormat/>
    <w:rPr>
      <w:color w:val="106bbe"/>
    </w:rPr>
  </w:style>
  <w:style w:type="character" w:styleId="866" w:customStyle="1">
    <w:name w:val="Цветовое выделение"/>
    <w:uiPriority w:val="99"/>
    <w:qFormat/>
    <w:rPr>
      <w:b/>
      <w:bCs/>
      <w:color w:val="26282f"/>
    </w:rPr>
  </w:style>
  <w:style w:type="character" w:styleId="867" w:customStyle="1">
    <w:name w:val="Основной текст + 12 pt"/>
    <w:qFormat/>
    <w:rPr>
      <w:rFonts w:hint="default"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7622-64C0-49E9-9226-2F81A276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ВМ</dc:creator>
  <cp:revision>1021</cp:revision>
  <dcterms:created xsi:type="dcterms:W3CDTF">2022-11-06T12:01:00Z</dcterms:created>
  <dcterms:modified xsi:type="dcterms:W3CDTF">2024-12-27T14:11:47Z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B7AFD93D5DAF4E23AABAD55122C7DF2C</vt:lpwstr>
  </property>
</Properties>
</file>