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</w:t>
      </w:r>
      <w:r>
        <w:rPr>
          <w:sz w:val="28"/>
          <w:szCs w:val="28"/>
        </w:rPr>
      </w:r>
      <w:r/>
    </w:p>
    <w:p>
      <w:pPr>
        <w:pStyle w:val="7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</w:t>
      </w:r>
      <w:r>
        <w:rPr>
          <w:sz w:val="28"/>
          <w:szCs w:val="28"/>
        </w:rPr>
      </w:r>
      <w:r/>
    </w:p>
    <w:p>
      <w:pPr>
        <w:pStyle w:val="7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СЕРЕБРЯНЫЕ ПРУДЫ</w:t>
      </w:r>
      <w:r>
        <w:rPr>
          <w:sz w:val="28"/>
          <w:szCs w:val="28"/>
        </w:rPr>
      </w:r>
      <w:r/>
    </w:p>
    <w:p>
      <w:pPr>
        <w:pStyle w:val="7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 ОБЛАСТИ</w:t>
      </w:r>
      <w:r>
        <w:rPr>
          <w:sz w:val="28"/>
          <w:szCs w:val="28"/>
        </w:rPr>
      </w:r>
      <w:r/>
    </w:p>
    <w:p>
      <w:pPr>
        <w:pStyle w:val="7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7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</w:rPr>
      </w:r>
      <w:r/>
    </w:p>
    <w:p>
      <w:pPr>
        <w:pStyle w:val="752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05.02.2025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№ 279/41</w:t>
      </w:r>
      <w:r/>
    </w:p>
    <w:p>
      <w:pPr>
        <w:pStyle w:val="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/>
          <w:sz w:val="28"/>
        </w:rPr>
        <w:t xml:space="preserve">муниципального</w:t>
      </w:r>
      <w:r>
        <w:rPr>
          <w:rFonts w:ascii="Times New Roman" w:hAnsi="Times New Roman"/>
          <w:sz w:val="28"/>
        </w:rPr>
        <w:t xml:space="preserve"> округа Серебряные Пруды </w:t>
      </w:r>
      <w:r>
        <w:rPr>
          <w:rFonts w:ascii="Times New Roman" w:hAnsi="Times New Roman" w:cs="Times New Roman"/>
          <w:sz w:val="28"/>
        </w:rPr>
        <w:t xml:space="preserve">Московской области»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 от 06.10.2003 N 131-ФЗ "Об общих принципах организации местного самоуправления в Российской Федерации",  руководствуясь Уставом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</w:rPr>
        <w:t xml:space="preserve"> округа Серебряные Пруды Московской области, Советом депутатов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округа Серебряные Пруды Московской области:</w:t>
      </w:r>
      <w:r>
        <w:rPr>
          <w:rFonts w:ascii="Times New Roman" w:hAnsi="Times New Roman" w:cs="Times New Roman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РЕШИЛ:</w:t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Серебряные Пруды Московской области, согласно Приложению к настоящему решению.</w:t>
      </w:r>
      <w:r>
        <w:rPr>
          <w:rFonts w:ascii="Times New Roman" w:hAnsi="Times New Roman" w:cs="Times New Roman"/>
        </w:rPr>
      </w:r>
      <w:r/>
    </w:p>
    <w:p>
      <w:pPr>
        <w:pStyle w:val="752"/>
        <w:ind w:left="0" w:right="0" w:firstLine="567"/>
        <w:jc w:val="both"/>
        <w:tabs>
          <w:tab w:val="left" w:pos="85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Признать утратившим силу решение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C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округа Серебряны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Пруды Московской области от 29.10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 утверждении Положения городского контроля в сфере благоустройства на территории городского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округа Серебряные Пруды Московской области»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</w:r>
      <w:r/>
    </w:p>
    <w:p>
      <w:pPr>
        <w:pStyle w:val="752"/>
        <w:ind w:left="0" w:righ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Опубликовать настоящее Решение в  сетевом издании «</w:t>
      </w:r>
      <w:r>
        <w:rPr>
          <w:rFonts w:ascii="Times New Roman" w:hAnsi="Times New Roman" w:cs="Times New Roman"/>
          <w:sz w:val="28"/>
        </w:rPr>
        <w:t xml:space="preserve">Городской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округ 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еребряные Пруды», доменное имя сайта в информационно-коммуникационной сети Интернет: http://spadm.ru.</w:t>
      </w:r>
      <w:r>
        <w:rPr>
          <w:rFonts w:ascii="Times New Roman" w:hAnsi="Times New Roman" w:cs="Times New Roman"/>
          <w:sz w:val="28"/>
        </w:rPr>
      </w:r>
      <w:r/>
    </w:p>
    <w:p>
      <w:pPr>
        <w:pStyle w:val="752"/>
        <w:ind w:left="0" w:righ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4. Решение вступает в законную силу после его официального опубликования.</w:t>
      </w:r>
      <w:r>
        <w:rPr>
          <w:rFonts w:ascii="Times New Roman" w:hAnsi="Times New Roman" w:cs="Times New Roman"/>
          <w:sz w:val="28"/>
        </w:rPr>
      </w:r>
      <w:r/>
    </w:p>
    <w:p>
      <w:pPr>
        <w:pStyle w:val="752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5. Контроль за исполнением настоящего Решения возложить на Главу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округа Серебряные Пруды Московской области Павлихина О.В.</w:t>
      </w:r>
      <w:r>
        <w:rPr>
          <w:rFonts w:ascii="Times New Roman" w:hAnsi="Times New Roman" w:cs="Times New Roman"/>
        </w:rPr>
      </w:r>
      <w:r/>
    </w:p>
    <w:p>
      <w:pPr>
        <w:pStyle w:val="752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752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Председатель Совета депутатов </w:t>
      </w:r>
      <w:r>
        <w:rPr>
          <w:rFonts w:ascii="Times New Roman" w:hAnsi="Times New Roman" w:cs="Times New Roman"/>
        </w:rPr>
      </w:r>
      <w:r/>
    </w:p>
    <w:p>
      <w:pPr>
        <w:pStyle w:val="7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округа Серебряные Пруды </w:t>
      </w:r>
      <w:r>
        <w:rPr>
          <w:rFonts w:ascii="Times New Roman" w:hAnsi="Times New Roman" w:cs="Times New Roman"/>
        </w:rPr>
      </w:r>
      <w:r/>
    </w:p>
    <w:p>
      <w:pPr>
        <w:pStyle w:val="752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Московской области                                                                         В.В.Растегаев</w:t>
      </w:r>
      <w:r>
        <w:rPr>
          <w:rFonts w:ascii="Times New Roman" w:hAnsi="Times New Roman" w:cs="Times New Roman"/>
        </w:rPr>
      </w:r>
      <w:r/>
    </w:p>
    <w:p>
      <w:pPr>
        <w:pStyle w:val="75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7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округа</w:t>
      </w:r>
      <w:r>
        <w:rPr>
          <w:rFonts w:ascii="Times New Roman" w:hAnsi="Times New Roman" w:cs="Times New Roman"/>
        </w:rPr>
      </w:r>
      <w:r/>
    </w:p>
    <w:p>
      <w:pPr>
        <w:pStyle w:val="7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Серебряные Пруды </w:t>
      </w:r>
      <w:r>
        <w:rPr>
          <w:rFonts w:ascii="Times New Roman" w:hAnsi="Times New Roman" w:cs="Times New Roman"/>
        </w:rPr>
      </w:r>
      <w:r/>
    </w:p>
    <w:p>
      <w:pPr>
        <w:pStyle w:val="7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 xml:space="preserve">Московской области                                                                       О.В.Павлихин</w:t>
      </w:r>
      <w:r>
        <w:rPr>
          <w:rFonts w:ascii="Times New Roman" w:hAnsi="Times New Roman" w:cs="Times New Roman"/>
        </w:rPr>
      </w:r>
      <w:r/>
    </w:p>
    <w:p>
      <w:pPr>
        <w:pStyle w:val="907"/>
        <w:contextualSpacing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</w:r>
      <w:r/>
    </w:p>
    <w:p>
      <w:pPr>
        <w:pStyle w:val="907"/>
        <w:contextualSpacing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</w:r>
    </w:p>
    <w:p>
      <w:pPr>
        <w:pStyle w:val="907"/>
        <w:contextualSpacing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</w:t>
      </w:r>
      <w:r/>
      <w:r/>
    </w:p>
    <w:p>
      <w:pPr>
        <w:pStyle w:val="907"/>
        <w:contextualSpacing/>
        <w:ind w:left="5245" w:hanging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</w:t>
      </w:r>
      <w:r/>
    </w:p>
    <w:p>
      <w:pPr>
        <w:pStyle w:val="907"/>
        <w:contextualSpacing/>
        <w:ind w:left="5245" w:hanging="1"/>
        <w:spacing w:line="276" w:lineRule="auto"/>
        <w:rPr>
          <w:sz w:val="28"/>
          <w:szCs w:val="28"/>
        </w:rPr>
      </w:pPr>
      <w:r>
        <w:rPr>
          <w:sz w:val="28"/>
        </w:rPr>
        <w:t xml:space="preserve">муниципального </w:t>
      </w:r>
      <w:r>
        <w:rPr>
          <w:sz w:val="28"/>
          <w:szCs w:val="28"/>
        </w:rPr>
        <w:t xml:space="preserve">округа Серебряные Пруды Московской области</w:t>
      </w:r>
      <w:r/>
    </w:p>
    <w:p>
      <w:pPr>
        <w:pStyle w:val="907"/>
        <w:contextualSpacing/>
        <w:ind w:left="5245" w:hanging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05.02.2025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279/41</w:t>
      </w:r>
      <w:r/>
    </w:p>
    <w:p>
      <w:pPr>
        <w:pStyle w:val="907"/>
        <w:contextualSpacing/>
        <w:ind w:firstLine="709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8"/>
        <w:contextualSpacing/>
        <w:jc w:val="center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/>
      <w:bookmarkStart w:id="0" w:name="Par39"/>
      <w:r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</w:t>
      </w:r>
      <w:r/>
    </w:p>
    <w:p>
      <w:pPr>
        <w:pStyle w:val="907"/>
        <w:contextualSpacing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r>
        <w:rPr>
          <w:bCs/>
          <w:color w:val="000000" w:themeColor="text1"/>
          <w:sz w:val="28"/>
          <w:szCs w:val="28"/>
        </w:rPr>
        <w:t xml:space="preserve">муниципальном контроле в сфере благоустройства </w:t>
      </w:r>
      <w:r>
        <w:rPr>
          <w:color w:val="000000" w:themeColor="text1"/>
          <w:sz w:val="28"/>
          <w:szCs w:val="28"/>
        </w:rPr>
        <w:t xml:space="preserve">на территории </w:t>
      </w:r>
      <w:r>
        <w:rPr>
          <w:sz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 xml:space="preserve">округа Серебряные Пруды Московской области</w:t>
      </w:r>
      <w:r/>
    </w:p>
    <w:p>
      <w:pPr>
        <w:pStyle w:val="907"/>
        <w:contextualSpacing/>
        <w:jc w:val="center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8"/>
        <w:contextualSpacing/>
        <w:jc w:val="center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I. Общие положения</w:t>
      </w:r>
      <w:r/>
    </w:p>
    <w:p>
      <w:pPr>
        <w:pStyle w:val="907"/>
        <w:contextualSpacing/>
        <w:ind w:firstLine="709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Положение, разработанное  в соответствии с Федеральным </w:t>
      </w:r>
      <w:hyperlink r:id="rId11" w:tooltip="https://login.consultant.ru/link/?req=doc&amp;base=LAW&amp;n=389501&amp;dst=100087&amp;field=134&amp;date=18.04.2022" w:history="1">
        <w:r>
          <w:rPr>
            <w:rStyle w:val="916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Федеральным </w:t>
      </w:r>
      <w:hyperlink r:id="rId12" w:tooltip="https://login.consultant.ru/link/?req=doc&amp;base=LAW&amp;n=405832&amp;date=18.04.2022" w:history="1">
        <w:r>
          <w:rPr>
            <w:rStyle w:val="916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3" w:tooltip="https://login.consultant.ru/link/?req=doc&amp;base=MOB&amp;n=347619&amp;date=18.04.2022" w:history="1">
        <w:r>
          <w:rPr>
            <w:rStyle w:val="916"/>
            <w:color w:val="000000" w:themeColor="text1"/>
            <w:sz w:val="28"/>
            <w:szCs w:val="28"/>
            <w:u w:val="none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(далее - </w:t>
      </w:r>
      <w:hyperlink r:id="rId14" w:tooltip="https://login.consultant.ru/link/?req=doc&amp;base=MOB&amp;n=347619&amp;date=18.04.2022" w:history="1">
        <w:r>
          <w:rPr>
            <w:rStyle w:val="916"/>
            <w:color w:val="000000" w:themeColor="text1"/>
            <w:sz w:val="28"/>
            <w:szCs w:val="28"/>
            <w:u w:val="none"/>
          </w:rPr>
          <w:t xml:space="preserve">Закон</w:t>
        </w:r>
      </w:hyperlink>
      <w:r>
        <w:rPr>
          <w:color w:val="000000" w:themeColor="text1"/>
          <w:sz w:val="28"/>
          <w:szCs w:val="28"/>
        </w:rPr>
        <w:t xml:space="preserve"> Московской области № 106/2014-ОЗ) устанавливает порядок организации и осуществления </w:t>
      </w:r>
      <w:r>
        <w:rPr>
          <w:bCs/>
          <w:color w:val="000000" w:themeColor="text1"/>
          <w:sz w:val="28"/>
          <w:szCs w:val="28"/>
        </w:rPr>
        <w:t xml:space="preserve">муниципального контроля в сфере благоустройства </w:t>
      </w:r>
      <w:r>
        <w:rPr>
          <w:color w:val="000000" w:themeColor="text1"/>
          <w:sz w:val="28"/>
          <w:szCs w:val="28"/>
        </w:rPr>
        <w:t xml:space="preserve">на территории </w:t>
      </w:r>
      <w:r>
        <w:rPr>
          <w:sz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 xml:space="preserve">округа Серебряные Пруды Московской области (далее - муниципальный контроль).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Предметом муниципального контроля является соблюдение контролируемыми лицами требований, установленных правилами благоустройства территории </w:t>
      </w:r>
      <w:r>
        <w:rPr>
          <w:sz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 xml:space="preserve">округа Серебряные Пруды Московской области (далее - обязательные требования).</w:t>
      </w:r>
      <w:r/>
    </w:p>
    <w:p>
      <w:pPr>
        <w:pStyle w:val="917"/>
        <w:numPr>
          <w:ilvl w:val="0"/>
          <w:numId w:val="1"/>
        </w:numPr>
        <w:ind w:left="0" w:firstLine="710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контроль осуществляется контрольными (надзорными) органами, уполномоченными на осуществление муниципального контроля (далее при совместном упоминании - контрольный (надзорный) орган): </w:t>
      </w:r>
      <w:r/>
    </w:p>
    <w:p>
      <w:pPr>
        <w:pStyle w:val="917"/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Серебряные Пруды Московской области (за исключением муниципального контроля, предметом которого является соблюдение юридическими лицами (за исключением садоводческих, огородничес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также в части муниципального контроля,предметом которого является соб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людение юридическими лицами,индивидуальными предпринимателями и гражданами правил благоустройства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,за исключением земель сельскохозяйственного назначения (далее – контрольный (надзорный) орган, уполномоченный на осуществление муниципального контроля территории городского округа);</w:t>
      </w:r>
      <w:r/>
    </w:p>
    <w:p>
      <w:pPr>
        <w:pStyle w:val="917"/>
        <w:numPr>
          <w:ilvl w:val="0"/>
          <w:numId w:val="13"/>
        </w:numPr>
        <w:ind w:left="0"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центральным исполнительным органом государственной власти Московской области (в части муниципального контроля,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едметом которого является 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образований Московской области обязательных требований в части содержания объектов благоустройства (за исключением соблюдения юридическими лицами,индивидуальными предпринимателями и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ами  требований законодательства Московской области по проведению мероприятий по удалению борщевика Сосновского),организующем и осуществляющем муниципальный контроль в порядке, установленном Правительством Московской области (далее – Уполномоченный орган).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Объектами муниципального контроля на территории 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 xml:space="preserve"> округа Серебряные Пруды Московской области являются: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деятельность, действия (бездействие) граждан и организаций,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которых должны соблюдаться обязательные требования,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том числе предъявляемые к гражданам и организациям, осуществляющим деятельность, действия (бездействие);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результаты деятельности граждан, организаций, индивидуальных предпринимателей, в том числе продукция (товары), работы и услуги,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которым предъявляются обязательные требования;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территории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Серебряные Пруды Московской области.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Контрольным (надзорным) органом обеспечивается учет объектов муниципального контроля в пределах предоставленных полномочий.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ведения учета объектов муниципального контроля устанавливается распоряжением контрольного (надзорного) органа.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объектов муниципального контроля, сформированный </w:t>
      </w:r>
      <w:r>
        <w:rPr>
          <w:color w:val="000000" w:themeColor="text1"/>
          <w:sz w:val="28"/>
          <w:szCs w:val="28"/>
        </w:rPr>
        <w:br/>
        <w:t xml:space="preserve">по результатам учета объектов муниципального контроля, размещается контрольным (надзорным) органом на официальном сайте контрольного (надзорного) органа в информационно-телекоммуникационной сети Интернет (далее - сеть «Интернет»).</w:t>
      </w:r>
      <w:r/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76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контролируемых лицах и объектах муниципального контроля осуществляется из поступающих в контрольный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(надзорный) орган обращений граждан, государственных органов, органов местного самоуправления, либо подведомственных им организаций.</w:t>
      </w:r>
      <w:r/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76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сборе, обработке, анализе и учете сведений о контролируемых лицах и объектах муниципального контроля для целей их учета контрольный (надзорный) орган использует информацию, представляемую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ему в соответствии с нормативными правовыми актами, получаемую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межведомственного информационного взаимодействия,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а также общедоступную информацию.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уполномоченный на осуществление муниципального контроля территории городского округа при наблюдении за соблюдением обязательных требований (мониторинге безопасности) помимо данных об объектах контроля, имеющихся у контрольного (надзорного) органа, в том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мах, данных из сети «Интернет», иных общедоступных данных, вправе осуществлять сбор, анализ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</w:t>
      </w:r>
      <w:r/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76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учета объектов муниципального контроля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контролируемых лиц не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ожет возлагаться обязанность по представлению сведений, документов, если иное не предусмотрено законодательством Российской Федерации, а также, если соответствующие сведения, документы содержатся в государственных или муниципальных информационных ресурсах.</w:t>
      </w:r>
      <w:r/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76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Перечень должностных лиц, уполномоченных на осуществление муниципального контроля контрольного (надзорного) органа, уполномоченного на осуществление муниципального контроля территории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округа, определяется решением Совета депутатов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Серебряные Пруды Московской области.</w:t>
      </w:r>
      <w:r/>
    </w:p>
    <w:p>
      <w:pPr>
        <w:pStyle w:val="917"/>
        <w:numPr>
          <w:ilvl w:val="0"/>
          <w:numId w:val="1"/>
        </w:numPr>
        <w:ind w:left="-142" w:firstLine="852"/>
        <w:jc w:val="both"/>
        <w:spacing w:after="0" w:line="276" w:lineRule="auto"/>
        <w:widowControl w:val="off"/>
        <w:tabs>
          <w:tab w:val="left" w:pos="0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лицом, уполномоченным на принятие решений о проведении контрольных (надзорных) мероприятий, контрольного (надзорного) органа, уполномоченного на осуществление муниципального контроля территории городского округа, является: 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руководитель контрольного надзорного органа  </w:t>
      </w:r>
      <w:r>
        <w:rPr>
          <w:sz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 xml:space="preserve">округа Серебряные Пруды Московской области.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лица,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уполномоченные на проведение конкретных контрольных (надзорных) мероприятий, определяются решением заместителя руководителя контрольного (надзорного) органа, который в соответствии с распределением обязанностей курирует деятельность структурного подраздел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ения контрольного (надзорного) органа, в сферу ведения которого входят вопросы организации и осуществления муниципального контроля, должностным регламентом (должностной инструкцией) которого предусмотрены полномочия по осуществлению муниципального контроля</w:t>
      </w:r>
      <w:bookmarkStart w:id="1" w:name="_GoBack"/>
      <w:r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917"/>
        <w:numPr>
          <w:ilvl w:val="0"/>
          <w:numId w:val="1"/>
        </w:numPr>
        <w:ind w:left="0" w:firstLine="710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лица контрольного (надзорного) органа при осуществлении муниципального контроля в пределах своих полномочий обладают правами и обязанностями, предусмотренными Федеральным законом от 31.07.2020 № 248-ФЗ «О государственном контроле (надзоре)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муниципальном контроле в Российской Федерации» (далее - Федеральный закон № 248-ФЗ).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07"/>
        <w:contextualSpacing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II. Управление рисками причинения вреда (ущерба)</w:t>
      </w:r>
      <w:r/>
    </w:p>
    <w:p>
      <w:pPr>
        <w:pStyle w:val="907"/>
        <w:contextualSpacing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/>
    </w:p>
    <w:p>
      <w:pPr>
        <w:pStyle w:val="907"/>
        <w:contextualSpacing/>
        <w:ind w:firstLine="709"/>
        <w:jc w:val="center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917"/>
        <w:numPr>
          <w:ilvl w:val="0"/>
          <w:numId w:val="1"/>
        </w:numPr>
        <w:ind w:left="0" w:firstLine="710"/>
        <w:jc w:val="both"/>
        <w:spacing w:after="0" w:line="276" w:lineRule="auto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Критерии отнесения объекта муниципального контроля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категориям риска, перечень категорий риска, периодичность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плановых контрольных (надзорных) мероприятий контрольного (надзорного) органа, уполномоченного на осуществление муниципального контроля территории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округа, определены в приложении 1 к настоящему Положению. </w:t>
      </w:r>
      <w:r/>
    </w:p>
    <w:p>
      <w:pPr>
        <w:pStyle w:val="917"/>
        <w:numPr>
          <w:ilvl w:val="0"/>
          <w:numId w:val="1"/>
        </w:numPr>
        <w:ind w:left="0" w:firstLine="710"/>
        <w:jc w:val="both"/>
        <w:spacing w:after="0" w:line="276" w:lineRule="auto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Отнесение объектов муниципального контроля к одной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из категорий риска осуществляется должностными лицами контрольного (надзорного) органа, уполномоченного на осуществление муниципального контроля территории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округа, на основе сопоставления характеристик объекта муниципального контроля с критериями риска, определенными в приложении 1 к настоящему Положению.</w:t>
      </w:r>
      <w:r>
        <w:rPr>
          <w:color w:val="000000" w:themeColor="text1"/>
          <w:sz w:val="28"/>
          <w:szCs w:val="28"/>
        </w:rPr>
        <w:t xml:space="preserve"> 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8"/>
        <w:contextualSpacing/>
        <w:jc w:val="center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III.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Профилактика рисков причинения вреда (ущерба)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охраняемым законом ценностям</w:t>
      </w:r>
      <w:r/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1134" w:leader="none"/>
          <w:tab w:val="left" w:pos="3119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</w:t>
      </w:r>
      <w:r>
        <w:rPr>
          <w:color w:val="000000" w:themeColor="text1"/>
          <w:sz w:val="28"/>
          <w:szCs w:val="28"/>
        </w:rPr>
        <w:t xml:space="preserve">стям, а также создания условий для доведения обязательных требований до контролируемых лиц, повышения информированности о способах их соблюдения территориальные подразделения контрольного (надзорного) органа проводят следующие профилактические мероприятия: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информирование;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обобщение правоприменительной практики;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объявление предостережения;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консультирование;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профилактический визит;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самообследование.  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Профилактические мероприятия, предусмотренные подпунктами </w:t>
      </w:r>
      <w:r>
        <w:rPr>
          <w:color w:val="000000" w:themeColor="text1"/>
          <w:sz w:val="28"/>
          <w:szCs w:val="28"/>
        </w:rPr>
        <w:br/>
      </w:r>
      <w:hyperlink w:tooltip="4) консультирование;" w:anchor="Par89" w:history="1">
        <w:r>
          <w:rPr>
            <w:color w:val="000000" w:themeColor="text1"/>
            <w:sz w:val="28"/>
            <w:szCs w:val="28"/>
          </w:rPr>
          <w:t xml:space="preserve">4</w:t>
        </w:r>
      </w:hyperlink>
      <w:r>
        <w:rPr>
          <w:color w:val="000000" w:themeColor="text1"/>
          <w:sz w:val="28"/>
          <w:szCs w:val="28"/>
        </w:rPr>
        <w:t xml:space="preserve"> - 6 пункта 16 настоящего Положения, проводятся только </w:t>
      </w:r>
      <w:r>
        <w:rPr>
          <w:color w:val="000000" w:themeColor="text1"/>
          <w:sz w:val="28"/>
          <w:szCs w:val="28"/>
        </w:rPr>
        <w:br/>
        <w:t xml:space="preserve">с согласия контролируемых лиц либо по их инициативе.</w:t>
      </w:r>
      <w:r/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76" w:lineRule="auto"/>
        <w:tabs>
          <w:tab w:val="left" w:pos="567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  <w:r/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76" w:lineRule="auto"/>
        <w:tabs>
          <w:tab w:val="left" w:pos="567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осуществляется посредством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лиц, Федеральную государственную информационную систему «Единый портал государственных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муниципальных услуг (функций)» (далее - ЕПГУ), государственную  информационную систему Московской области «Портал государственных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муниципальных услуг (функций) Московской области» (далее - РПГУ), государственную информационную систему «Единая государственная информационная система обеспечения контрольно-надзорной деятельности Московской области» (далее - ЕГИС ОКНД). </w:t>
      </w:r>
      <w:r/>
    </w:p>
    <w:p>
      <w:pPr>
        <w:numPr>
          <w:ilvl w:val="0"/>
          <w:numId w:val="1"/>
        </w:numPr>
        <w:contextualSpacing/>
        <w:ind w:left="0" w:firstLine="709"/>
        <w:jc w:val="both"/>
        <w:spacing w:after="0" w:line="276" w:lineRule="auto"/>
        <w:tabs>
          <w:tab w:val="left" w:pos="567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размещает и поддерживает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актуальном состоянии на своем официальном сайте в сети «Интернет»: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тексты нормативных правовых актов, регулирующих осуществление муниципального контроля;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а также информацию о мерах ответственности, применяемых при нарушении обязательных требований, с текстами в действующей редакции;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утвержденные проверочные листы; 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руководство по соблюдению обязательных требований, разработанное и утвержденное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31.07.2020 № 247-ФЗ «Об обязательных требованиях в Российской Федерации»;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перечень индикаторов риска нарушения обязательных требований, порядок отнесения объектов контроля к категориям риска;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программу профилактики рисков причинения вреда и план проведения плановых контрольных (надзорных) мероприятий контрольного (надзорного) органа;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исчерпывающий перечень сведений, которые могут запрашиваться контрольным (надзорным) органом у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/>
        </w:rPr>
        <w:t xml:space="preserve">контролируемых лиц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10) сведения о способах получения консультаций по вопросам соблюдения обязательных требований;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11) сведения о применении контрольным (надзорным) органом мер стимулирования добросовестности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/>
        </w:rPr>
        <w:t xml:space="preserve">контролируемых лиц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12) сведения о порядке досудебного обжалования решений контрольного (надзорного) органа, действий (бездействия) его должностных лиц;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13) доклады, содержащие результаты обобщения правоприменительной практики контрольного (надзорного) органа;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14) доклады о муниципальном контроле;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15) информацию по результатам проведенных контрольных (надзорных) мероприятий;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16) информацию о месте нахождения и графике работы контрольного (надзорного) органа;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17) справочные телефоны территориальных структурных подразделений контрольного (надзорного) органа; </w:t>
      </w:r>
      <w:r/>
    </w:p>
    <w:p>
      <w:pPr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18) иные сведения, предусмотренные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и (или) программами профилактики рисков причинения вреда (ущерба) охраняемым законом ценностям, утвержденными контрольным (надзорным) органом.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Контрольный (надзорный) орган ежегодно организует подготовку доклада, содержащего результаты обобщения правоприменительной практики за предыдущий календарный год (далее - доклад о правоприменительной практике).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для включения в доклад о правоприменительной практике за предыдущий календарный год актуализируется контрольным (надзорным) органом не позднее 20 января года, следующего за отчетным годом.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доклада о правоприменительной практике в срок </w:t>
      </w:r>
      <w:r>
        <w:rPr>
          <w:color w:val="000000" w:themeColor="text1"/>
          <w:sz w:val="28"/>
          <w:szCs w:val="28"/>
        </w:rPr>
        <w:br/>
        <w:t xml:space="preserve">до 10 февраля года, следующего за отчетным годом, размещается </w:t>
      </w:r>
      <w:r>
        <w:rPr>
          <w:color w:val="000000" w:themeColor="text1"/>
          <w:sz w:val="28"/>
          <w:szCs w:val="28"/>
        </w:rPr>
        <w:br/>
        <w:t xml:space="preserve">на официальном сайте контрольного (надзорного) органа в сети «Интернет» для публичного обсуждения на срок не менее десяти рабочих дней.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Доклад о право</w:t>
      </w:r>
      <w:r>
        <w:rPr>
          <w:color w:val="000000" w:themeColor="text1"/>
          <w:sz w:val="28"/>
          <w:szCs w:val="28"/>
        </w:rPr>
        <w:t xml:space="preserve">применительной практике за предыдущий календарный год утверждается приказом руководителя контрольного (надзорного) органа и до 15 марта года, следующего за отчетным годом, размещается на официальном сайте контрольного (надзорного) органа в сети «Интернет».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наличии указанных в </w:t>
      </w:r>
      <w:hyperlink r:id="rId15" w:tooltip="https://login.consultant.ru/link/?req=doc&amp;base=LAW&amp;n=358750&amp;date=17.05.2021&amp;dst=100548&amp;fld=134" w:history="1">
        <w:r>
          <w:rPr>
            <w:color w:val="000000" w:themeColor="text1"/>
            <w:sz w:val="28"/>
            <w:szCs w:val="28"/>
          </w:rPr>
          <w:t xml:space="preserve">части 1 статьи 49</w:t>
        </w:r>
      </w:hyperlink>
      <w:r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br/>
        <w:t xml:space="preserve">№ 248-ФЗ сведений контрольный (надзорный)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об объявлении предостережения принимает должностное лицо контрольного (надзорного) органа, уполномоченное на принятие решений о проведении контрольных (надзорных) мероприятий </w:t>
      </w:r>
      <w:r>
        <w:rPr>
          <w:color w:val="000000" w:themeColor="text1"/>
          <w:sz w:val="28"/>
          <w:szCs w:val="28"/>
        </w:rPr>
        <w:br/>
        <w:t xml:space="preserve">в соответствии с пунктом 11 настоящего Положения.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 контролируемого лица об объявлении </w:t>
      </w:r>
      <w:r>
        <w:rPr>
          <w:color w:val="000000" w:themeColor="text1"/>
          <w:sz w:val="28"/>
          <w:szCs w:val="28"/>
        </w:rPr>
        <w:t xml:space="preserve">предостережения осуществляется посредством размещения сведений </w:t>
      </w:r>
      <w:r>
        <w:rPr>
          <w:color w:val="000000" w:themeColor="text1"/>
          <w:sz w:val="28"/>
          <w:szCs w:val="28"/>
        </w:rPr>
        <w:br/>
        <w:t xml:space="preserve">об объявлении указанного предостережения в едином реестре контрольных (надзорных) мероприятий, а</w:t>
      </w:r>
      <w:r>
        <w:rPr>
          <w:color w:val="000000" w:themeColor="text1"/>
          <w:sz w:val="28"/>
          <w:szCs w:val="28"/>
        </w:rPr>
        <w:t xml:space="preserve"> также посредством направления предостережения электронной почтой по адресу, сведения о котором представлены контрольному (надзорному) органу контролируемым лицом, либо сведения о котором были представлены при государственной регистрации юридического лица.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Направление контролируемому лицу предостережения </w:t>
      </w:r>
      <w:r>
        <w:rPr>
          <w:color w:val="000000" w:themeColor="text1"/>
          <w:sz w:val="28"/>
          <w:szCs w:val="28"/>
        </w:rPr>
        <w:br/>
        <w:t xml:space="preserve">и размещение информации о его объявлении в едином реестре контрольных (надзорных) мероприятий осуществляется не позднее десяти рабочих дней </w:t>
      </w:r>
      <w:r>
        <w:rPr>
          <w:color w:val="000000" w:themeColor="text1"/>
          <w:sz w:val="28"/>
          <w:szCs w:val="28"/>
        </w:rPr>
        <w:br/>
        <w:t xml:space="preserve">со дня получения должностным лицом контрольного (надзорного) органа   сведений, указанных в </w:t>
      </w:r>
      <w:hyperlink r:id="rId16" w:tooltip="https://login.consultant.ru/link/?req=doc&amp;base=LAW&amp;n=358750&amp;date=17.05.2021&amp;dst=100548&amp;fld=134" w:history="1">
        <w:r>
          <w:rPr>
            <w:color w:val="000000" w:themeColor="text1"/>
            <w:sz w:val="28"/>
            <w:szCs w:val="28"/>
          </w:rPr>
          <w:t xml:space="preserve">части 1 статьи 49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248-ФЗ.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принятия контрольным (надзорным) органом решения </w:t>
      </w:r>
      <w:r>
        <w:rPr>
          <w:color w:val="000000" w:themeColor="text1"/>
          <w:sz w:val="28"/>
          <w:szCs w:val="28"/>
        </w:rPr>
        <w:br/>
        <w:t xml:space="preserve">об объявлении контролируемому лицу предостережения одновременно </w:t>
      </w:r>
      <w:r>
        <w:rPr>
          <w:color w:val="000000" w:themeColor="text1"/>
          <w:sz w:val="28"/>
          <w:szCs w:val="28"/>
        </w:rPr>
        <w:br/>
        <w:t xml:space="preserve">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«Интернет», позволяющий пройти самообследование соблюдения обязательных требований.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рассмотрения предостережения контролируемое лицо в течение тридцати дней со дня его получения вправе подать </w:t>
      </w:r>
      <w:r>
        <w:rPr>
          <w:color w:val="000000" w:themeColor="text1"/>
          <w:sz w:val="28"/>
          <w:szCs w:val="28"/>
        </w:rPr>
        <w:br/>
        <w:t xml:space="preserve">в контрольный (надзорный) орган возражение. 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возражении на предостережение указываются: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наименование контрольного (надзорного) органа, в который подается возражение;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должностное лицо, принявшее решение об объявлении предостережения;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информ</w:t>
      </w:r>
      <w:r>
        <w:rPr>
          <w:color w:val="000000" w:themeColor="text1"/>
          <w:sz w:val="28"/>
          <w:szCs w:val="28"/>
        </w:rPr>
        <w:t xml:space="preserve">ация о физическом и юридическом лице, индивидуальном предпринимателе (фамилия, имя, отчество, серия и номер паспорта, наименование, организационно-правовая форма, адрес с почтовым индексом, телефон, факс, адрес электронной почты) либо данные представителя </w:t>
      </w:r>
      <w:r>
        <w:rPr>
          <w:color w:val="000000" w:themeColor="text1"/>
          <w:sz w:val="28"/>
          <w:szCs w:val="28"/>
        </w:rPr>
        <w:t xml:space="preserve">юридического лица, индивидуального предпринимателя (если возражение подается представителем);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основной государственный регистрационный номер (ОГРН);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идентификационный номер налогоплательщика (ИНН);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дата и номер предостережения;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обоснование несогласия с доводами, изложенными в предостережении.</w:t>
      </w:r>
      <w:r/>
    </w:p>
    <w:p>
      <w:pPr>
        <w:pStyle w:val="907"/>
        <w:numPr>
          <w:ilvl w:val="0"/>
          <w:numId w:val="1"/>
        </w:numPr>
        <w:contextualSpacing/>
        <w:ind w:left="0" w:firstLine="710"/>
        <w:jc w:val="both"/>
        <w:spacing w:line="276" w:lineRule="auto"/>
        <w:tabs>
          <w:tab w:val="left" w:pos="1134" w:leader="none"/>
          <w:tab w:val="left" w:pos="1985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возражению на предостережение прикладываются документы, подтверждающие незаконность и необоснованность предостережения.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Полномочия представителя контролируемого лица, направившего возражение на предостережение, должны быть подтверждены в порядке, установленном гражданским законодательством Российской Федерации.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Возражение на предостережение направляется контролируемым лицом в контрольный (надзорный) орган в виде электронного документа </w:t>
      </w:r>
      <w:r>
        <w:rPr>
          <w:color w:val="000000" w:themeColor="text1"/>
          <w:sz w:val="28"/>
          <w:szCs w:val="28"/>
        </w:rPr>
        <w:br/>
        <w:t xml:space="preserve">на указанный в предостережении адрес электронной почты либо через ЕПГУ, РПГУ или ЕГИС ОКНД.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течение двадцати рабочих дней со дня получения возражения </w:t>
      </w:r>
      <w:r>
        <w:rPr>
          <w:color w:val="000000" w:themeColor="text1"/>
          <w:sz w:val="28"/>
          <w:szCs w:val="28"/>
        </w:rPr>
        <w:br/>
        <w:t xml:space="preserve">на предостережение должностное лицо контрольного (надзорного) органа направляет контролируемому лицу ответ об удовлетворении либо отказе </w:t>
      </w:r>
      <w:r>
        <w:rPr>
          <w:color w:val="000000" w:themeColor="text1"/>
          <w:sz w:val="28"/>
          <w:szCs w:val="28"/>
        </w:rPr>
        <w:br/>
        <w:t xml:space="preserve">об удовлетворения возражения одним из способов, установленных пунктом 33 настоящего Положения.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Контрольный (надзорный)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Консультирование контролируемого лица и его представителя проводится</w:t>
      </w:r>
      <w:r>
        <w:rPr>
          <w:color w:val="000000" w:themeColor="text1"/>
          <w:sz w:val="28"/>
          <w:szCs w:val="28"/>
        </w:rPr>
        <w:t xml:space="preserve"> по телефону, посредством видеоконференцсвязи, на личном приеме либо в ходе проведения профилактического мероприятия в виде профилактического визита, надзорных мероприятий в виде инспекционного визита, документарной или выездной проверки должностным лицом </w:t>
      </w:r>
      <w:r>
        <w:rPr>
          <w:color w:val="000000" w:themeColor="text1"/>
          <w:sz w:val="28"/>
          <w:szCs w:val="28"/>
        </w:rPr>
        <w:t xml:space="preserve">территориального подразделения контрольного (надзорного) органа.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способе, месте и времени проведения консультирования контролируемое лицо и его представитель извещаются территориальным подразделением контрольного (надзорного) органа в порядке, предусмотренном </w:t>
      </w:r>
      <w:hyperlink r:id="rId17" w:tooltip="https://login.consultant.ru/link/?req=doc&amp;base=LAW&amp;n=358750&amp;date=17.05.2021&amp;dst=100225&amp;fld=134" w:history="1">
        <w:r>
          <w:rPr>
            <w:color w:val="000000" w:themeColor="text1"/>
            <w:sz w:val="28"/>
            <w:szCs w:val="28"/>
          </w:rPr>
          <w:t xml:space="preserve">статьей 21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248-ФЗ. 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Проводимое для граждан, юридических лиц и индивидуальных предпринимателей</w:t>
      </w:r>
      <w:r>
        <w:rPr>
          <w:color w:val="000000" w:themeColor="text1"/>
          <w:sz w:val="28"/>
          <w:szCs w:val="28"/>
        </w:rPr>
        <w:t xml:space="preserve"> должностными лицами контрольного (надзорного) органа консультирование может осуществляться очно и (или) с использованием официального сайта контрольного (надзорного) органа в сети «Интернет», интерактивных сервисов в сети «Интернет», мобильных приложений.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Консультирование на личном приеме проводится по месту нахождения контрольного (надзорного) органа. 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проведения консультирования размещается на официальном сайте контрольного (надзорного) органа в сети «Интернет».</w:t>
      </w:r>
      <w:r/>
    </w:p>
    <w:p>
      <w:pPr>
        <w:pStyle w:val="907"/>
        <w:numPr>
          <w:ilvl w:val="0"/>
          <w:numId w:val="1"/>
        </w:numPr>
        <w:contextualSpacing/>
        <w:ind w:left="0"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Консультирование контролируемого лица и его представителя осуществляется по следующим вопросам: 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 обязательных требованиях, предъявляемых к деятельности контролируемых лиц, соответствии объектов муниципального контроля критериям</w:t>
      </w:r>
      <w:r>
        <w:rPr>
          <w:color w:val="000000" w:themeColor="text1"/>
          <w:sz w:val="28"/>
          <w:szCs w:val="28"/>
        </w:rPr>
        <w:t xml:space="preserve">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муниципального контроля, исходя из его отнесения к соответствующей категории риска;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об осуществлении муниципального контроля;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о ведении перечня объектов муниципального контроля;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о досудебном (внесудебном) обжаловании действий (бездействия) </w:t>
      </w:r>
      <w:r>
        <w:rPr>
          <w:color w:val="000000" w:themeColor="text1"/>
          <w:sz w:val="28"/>
          <w:szCs w:val="28"/>
        </w:rPr>
        <w:br/>
        <w:t xml:space="preserve">и (или) решений, принятых (осуществленных) надзорным органом, территориальными подразделениями контрольного (надзорного) органа </w:t>
      </w:r>
      <w:r>
        <w:rPr>
          <w:color w:val="000000" w:themeColor="text1"/>
          <w:sz w:val="28"/>
          <w:szCs w:val="28"/>
        </w:rPr>
        <w:br/>
        <w:t xml:space="preserve">и их должностными лицами в ходе предоставления государственной услуги по включению сведений о юридическом лице, индивидуальном предпринимателе в государственный реестр либо по осуществлению </w:t>
      </w:r>
      <w:r>
        <w:rPr>
          <w:color w:val="000000" w:themeColor="text1"/>
          <w:sz w:val="28"/>
          <w:szCs w:val="28"/>
        </w:rPr>
        <w:t xml:space="preserve">муниципального контроля за деятельностью юридических лиц, индивидуальных предпринимателей, включенных в государственный реестр;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об административной ответственности за нарушение обязательных требований.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40. Консультирование контролируемого лица и его представителя </w:t>
      </w:r>
      <w:r>
        <w:rPr>
          <w:color w:val="000000" w:themeColor="text1"/>
          <w:sz w:val="28"/>
          <w:szCs w:val="28"/>
        </w:rPr>
        <w:br/>
        <w:t xml:space="preserve">по вопросам обоснованности привлечения к административной ответственности осуществляется по телефону, посредством </w:t>
      </w:r>
      <w:r>
        <w:rPr>
          <w:color w:val="000000" w:themeColor="text1"/>
          <w:sz w:val="28"/>
          <w:szCs w:val="28"/>
        </w:rPr>
        <w:br/>
        <w:t xml:space="preserve">видео-конференц-связи, на личном приеме либо в ходе проведения профилактического мероприятия, контрольного (надзорного) мероприятия.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41. По итогам консультирования информация в письменной форме контролируемым лицам и их представителям не предоставляется, </w:t>
      </w:r>
      <w:r>
        <w:rPr>
          <w:color w:val="000000" w:themeColor="text1"/>
          <w:sz w:val="28"/>
          <w:szCs w:val="28"/>
        </w:rPr>
        <w:br/>
        <w:t xml:space="preserve">за исключением случаев, предусмотренных пунктом 41 настоящего Положения. Контролируемое лицо вправе направить запрос </w:t>
      </w:r>
      <w:r>
        <w:rPr>
          <w:color w:val="000000" w:themeColor="text1"/>
          <w:sz w:val="28"/>
          <w:szCs w:val="28"/>
        </w:rPr>
        <w:br/>
        <w:t xml:space="preserve">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42. Консультирование по однотипным обращениям контролируемых лиц и их представителей осуществляется посредством размещения </w:t>
      </w:r>
      <w:r>
        <w:rPr>
          <w:color w:val="000000" w:themeColor="text1"/>
          <w:sz w:val="28"/>
          <w:szCs w:val="28"/>
        </w:rPr>
        <w:br/>
        <w:t xml:space="preserve">на официальном сайте контрольного (надз</w:t>
      </w:r>
      <w:r>
        <w:rPr>
          <w:color w:val="000000" w:themeColor="text1"/>
          <w:sz w:val="28"/>
          <w:szCs w:val="28"/>
        </w:rPr>
        <w:t xml:space="preserve">орного) органа в сети «Интернет» письменного разъяснения, подписанного должностным лицом контрольного (надзорного) органа, уполномоченным на принятие решений о проведении контрольных (надзорных) мероприятий в соответствии с пунктом 11 настоящего Положения.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43. Ответы на типовые вопросы в рамках консультирования контролируемых лиц за предыдущий календарный год размещаются </w:t>
      </w:r>
      <w:r>
        <w:rPr>
          <w:color w:val="000000" w:themeColor="text1"/>
          <w:sz w:val="28"/>
          <w:szCs w:val="28"/>
        </w:rPr>
        <w:br/>
        <w:t xml:space="preserve">на официальном сайте контрольного (надзорного) органа в сети «Интернет» не позднее 20 января текущего года.</w:t>
      </w:r>
      <w:r/>
    </w:p>
    <w:p>
      <w:pPr>
        <w:pStyle w:val="917"/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осуществляет учет консультирований в порядке им установленном.</w:t>
      </w:r>
      <w:r/>
    </w:p>
    <w:p>
      <w:pPr>
        <w:pStyle w:val="917"/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Профилактический визит проводится в порядке, предусмотренном </w:t>
      </w:r>
      <w:hyperlink r:id="rId18" w:tooltip="https://login.consultant.ru/link/?req=doc&amp;base=LAW&amp;n=358750&amp;date=17.05.2021&amp;dst=100572&amp;fld=134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статьей 52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248-ФЗ.</w:t>
      </w:r>
      <w:r/>
    </w:p>
    <w:p>
      <w:pPr>
        <w:pStyle w:val="917"/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контролируемых лиц, приступающих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осуществлению деятельности в сфере эксплуатации объектов отдыха детей и оздоровления, отнесенной к категории значительного риска, проведение профилактического визит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является обязательным. Контрольный (надзорный) орган обязан предложить проведение профилактического визита контролируемым лицам, приступающим к осуществлению указанной деятельности не позднее чем в течение одного года с момента начала такой деятельности.</w:t>
      </w:r>
      <w:r/>
    </w:p>
    <w:p>
      <w:pPr>
        <w:pStyle w:val="917"/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ностям или такой вред (ущерб) причинен, должностное лицо контрольного (надзорного) органа незамедлительно направляет информацию об этом должностному лицу, указанному в пункте 11 настоящего Положения, для принятия решения о проведении надзорных мероприятий.</w:t>
      </w:r>
      <w:r/>
    </w:p>
    <w:p>
      <w:pPr>
        <w:pStyle w:val="917"/>
        <w:numPr>
          <w:ilvl w:val="0"/>
          <w:numId w:val="20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Обязательный профилактический визит проводится в течение одного рабочего дня. По ходатайству должностного лица, проводящего обязательный профилактический визит, должностное лицо, указанное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пункте 11 настоящего Положения, продлевает срок проведения обязательного профилактического визита на срок не более трех рабочих дней.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0" w:leader="none"/>
          <w:tab w:val="left" w:pos="851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три рабочих дня до даты его проведения.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0" w:leader="none"/>
          <w:tab w:val="left" w:pos="851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49. Порядок проведения профилактического визита (обязательного профилактического визита) предусматривает проведение должностным лицом контрольного (надзорного) органа следующих действий: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851" w:leader="none"/>
          <w:tab w:val="left" w:pos="1276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уведомление контролируемого лица о проведении </w:t>
      </w:r>
      <w:r>
        <w:rPr>
          <w:color w:val="000000" w:themeColor="text1"/>
          <w:sz w:val="28"/>
          <w:szCs w:val="28"/>
        </w:rPr>
        <w:t xml:space="preserve">профилактического визита не позднее, чем за пять рабочих дней до дня </w:t>
      </w:r>
      <w:r>
        <w:rPr>
          <w:color w:val="000000" w:themeColor="text1"/>
          <w:sz w:val="28"/>
          <w:szCs w:val="28"/>
        </w:rPr>
        <w:br/>
        <w:t xml:space="preserve">его проведения;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уведомление контролируемого лица о форме проведения профилактического визита, который проводится по месту осуществления деятельности контролируемого лица либо с использованием </w:t>
      </w:r>
      <w:r>
        <w:rPr>
          <w:color w:val="000000" w:themeColor="text1"/>
          <w:sz w:val="28"/>
          <w:szCs w:val="28"/>
        </w:rPr>
        <w:br/>
        <w:t xml:space="preserve">видео-конференц-связи;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проведение профилактического визита в виде профилактической беседы;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информирование контролируемого лица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</w:t>
      </w:r>
      <w:r>
        <w:rPr>
          <w:color w:val="000000" w:themeColor="text1"/>
          <w:sz w:val="28"/>
          <w:szCs w:val="28"/>
        </w:rPr>
        <w:br/>
        <w:t xml:space="preserve">а также о видах, содержании и об интенсивности контрольных (надзорных) мероприятий, проводимых в отношении объектов муниципального контроля в соответствии с присвоенной категорией риска.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50. Самообследование проводится в порядке, предусмотренном статьей 51 Федерального закона № 248-ФЗ.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51. В целях добровольного определения контролируемыми лицами, объекты муниципального контроля которых относятся к категориям умеренного или низкого риска, уровня соблюдения ими обязательных требований, предусмотрена само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52. Самообследование осуществляется в автоматизированном режиме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использованием одного из способов, указанных на официальном сайте контрольного (надзорного) органа в сети «Интернет».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53. Контролируемые лица, получившие высокую оценку соблюдения ими обязательных требований, по итогам самообследования, проведенного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частью 2 статьи 51 Федерального закона № 248-ФЗ, вправе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принять декларацию соблюдения обязательных требований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(далее - декларация).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54. Декларация направляется контролируемым лицом в контрольный (надзорный) орган, где осуществляется ее регистрация с последующим размещением на официальном сайте контрольного (надзорного) органа в сети «Интернет». 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55. Срок действия декларации составляет два года со дня регистрации указанной декларации контрольным (надзорным) органом.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56. В случае изменения сведений, содержащихся в декларации, уточненная декларация представляется контролируемым лицом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контрольный (надзорный) орган в течение одного месяца со дня изменения содержащихся в ней сведений.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57. Контрольный (надзорный) орган утверждает методические рекомендации по проведению самообследования и подготовке декларации. Методические рекомендации размещаются на официальном сайте контрольного (надзорного) органа в сети «Интернет».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58.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результатам контрольного (надзорного) мероприятия.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59. В срок не ранее истечения одного года, контролируемое лицо может вновь принять декларацию по результатам самообследования.</w:t>
      </w:r>
      <w:r/>
    </w:p>
    <w:p>
      <w:pPr>
        <w:pStyle w:val="907"/>
        <w:contextualSpacing/>
        <w:ind w:firstLine="709"/>
        <w:jc w:val="center"/>
        <w:spacing w:line="276" w:lineRule="auto"/>
        <w:tabs>
          <w:tab w:val="left" w:pos="851" w:leader="none"/>
          <w:tab w:val="left" w:pos="1134" w:leader="none"/>
        </w:tabs>
        <w:rPr>
          <w:color w:val="000000"/>
          <w:sz w:val="28"/>
          <w:szCs w:val="28"/>
        </w:rPr>
      </w:pPr>
      <w:r/>
      <w:bookmarkStart w:id="2" w:name="p699"/>
      <w:r/>
      <w:bookmarkEnd w:id="2"/>
      <w:r/>
      <w:r/>
    </w:p>
    <w:p>
      <w:pPr>
        <w:pStyle w:val="907"/>
        <w:contextualSpacing/>
        <w:jc w:val="center"/>
        <w:spacing w:line="276" w:lineRule="auto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IV.</w:t>
      </w:r>
      <w:r>
        <w:rPr>
          <w:color w:val="000000" w:themeColor="text1"/>
          <w:sz w:val="28"/>
          <w:szCs w:val="28"/>
        </w:rPr>
        <w:tab/>
        <w:t xml:space="preserve">Осуществление муниципального контроля </w:t>
      </w:r>
      <w:r/>
    </w:p>
    <w:p>
      <w:pPr>
        <w:pStyle w:val="907"/>
        <w:contextualSpacing/>
        <w:ind w:firstLine="709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60. При осуществле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нии муниципального контроля, взаимодействием контрольного (надзорного) органа,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представителе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м, запрос документов, иных материалов, присутствие должностного лица контрольного (надзорного) органа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61. Взаимодействие с контролируемым лицом осуществляется при проведении следующих контрольных (надзорных) мероприятий: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инспекционный визит;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документарная проверка;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выездная проверка.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62. Без взаимодействия с контролируемым лицом проводятся контрольные (надзорные) мероприятия, предусмотренные частью 3 статьи 56 Федерального закона № 248-ФЗ (далее - контрольные (надзорные) мероприятия без взаимодействия).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63. Оценка соблюдения контролируемыми лицами обязательных требований контрольным (надзорным) органом не может проводиться иными способами, кроме как посредством контрольных (надзорных) мероприятий, установленных пунктами 60 и 61 настоящего Положения.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64. Основанием для проведения контрольных (надзорных) мероприятий является: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нения вреда (ущерба) охраняемым законом ценностям либо выявление соответствия объекта муниципального контроля параметрам, утвержденным индикаторами риска нарушения обязательных требований, или отклонения объекта муниципального контроля от таких параметров;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требование прокурора о проведении контрольного (надзорного) мероприятия в рамках муниципального контроля за исполнением законов, соблюдением прав и свобод человека и гражданина по поступившим в органы прокуратуры материалам и обращениям;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случаях, установленных частью 1 статьи 95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248-ФЗ.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65. Контрольные (надзорные) мероприятия, за исключением контрольных (надзорных) меропри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ятий без взаимодействия, могут проводиться на плановой и внеплановой основе только путем совершения должностным лицом контрольного (надзорного) органа и лицами, привлекаемыми к проведению контрольного (надзорного) мероприятия, следующих надзорных действий: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осмотр;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досмотр;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опрос;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получение письменных объяснений;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истребование документов.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Контрольные (надзорные) мероприятия подлежат проведению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учетом внутренних правил и (или) установлений контролируемых лиц, режима работы объекта муниципального контроля, если они не создают непреодолимого препятствия по проведению контрольных (надзорных) мероприятий.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Совершение надзорных действий и их результаты отражаются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документах, составляемых должностным лицом контрольного (надзорного) органа и лицами, привлекаемыми к совершению надзорных действий.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контрольных (надзорных)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фиксации должностным лицом контрольного (надзорного)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лицами, привлекаемыми к совершению надзорных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0" w:leader="none"/>
          <w:tab w:val="left" w:pos="851" w:leader="none"/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Порядок осуществления фотосъемки, аудио- и видеозаписи, иных способов фиксации доказательств в ходе контрольного (надзорного) мероприятия включает в себя: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извещение контролируемого лица, а также представителя контролируемого лица о ведении фотосъемки, аудио- и видеозаписи, иных способов фиксации доказательств;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указание при ведении фотосъемки, аудио- и видеозаписи, иных способов фиксации доказательств должностным лицом контрольного (надзорного)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ргана наименования проводимого контрольного (надзорного) мероприятия, адреса, даты, времени его проведения, а также должности, фамилии, имена и отчества (последнее при наличии) всех лиц, принимающих участие в проводимом контрольном (надзорном) мероприятии;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внесение в акт контрольного (надзорного) мероприятия информации о технических средствах, использованных при фотосъемке, аудио-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видеозаписи, иных способах фиксации доказательств;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обеспечение сохранности информации, полученной посредством фотосъемки, аудио- и видеозаписи, иных способов фиксации доказательств.</w:t>
      </w:r>
      <w:r/>
    </w:p>
    <w:p>
      <w:pPr>
        <w:contextualSpacing/>
        <w:ind w:firstLine="851"/>
        <w:jc w:val="both"/>
        <w:spacing w:after="0" w:line="276" w:lineRule="auto"/>
        <w:tabs>
          <w:tab w:val="left" w:pos="851" w:leader="none"/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технических средствах, использованных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при фотосъемке, аудио- и видеозаписи, иных способах фиксации доказательств указывается в акте контрольного (надзорного) мероприятия. 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851" w:leader="none"/>
          <w:tab w:val="left" w:pos="1134" w:leader="none"/>
          <w:tab w:val="left" w:pos="3402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Фотографии, аудио- и видеозаписи используемые для фиксации доказательств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обязательных требований, прикладываются к акту контрольного (надзорного) мероприятия.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851" w:leader="none"/>
          <w:tab w:val="left" w:pos="1134" w:leader="none"/>
          <w:tab w:val="left" w:pos="3402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контрольного (надзорного) мероприятия, предусматривающего взаимодействие с контролируемым лицом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(его представителем) в месте осуществления деятельности контролируемого лица, контролир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уемому лицу (его представителю) должностным лицом контрольного (надзорного) органа, в том числе руководителем группы должностных лиц контрольного (надзорного) органа предъявляются служебное удостоверение, заверенная печатью бумажная копия либо решение о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851" w:leader="none"/>
          <w:tab w:val="left" w:pos="1134" w:leader="none"/>
          <w:tab w:val="left" w:pos="3402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выездного обследования, инспекционного визита, выездной проверки, самообследования осуществляется с применением проверочных листов.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контрольных (надзорных)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Федеральным законом от 06.04.2011 № 63-ФЗ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«Об электронной подписи» с использованием ЕГИС ОКНД.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требованию контролируемого лица должностное лицо контрольного (надзорного) органа обязано предоставить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 экспертах, экспертных организациях и иных лицах, привлекаемых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проведения контрольного (надзорного) мероприятия, в целях подтверждения полномочий.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проведение контрольного (надзорного) мероприятия оказалось невозможным в связи с отсутствием контролируемого лица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месту нахождения (осуществления деятельности), либо в связи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льного (надзорного) мероприятия, уполномоченное должностное лицо контрольного (надзорного) органа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информирует контролируемое лицо о невозможности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уполномоченное должностное лицо контрольного (надзор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ного) органа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случае, указанном в пункте 74 настоящего Положения, уполномоченное должнос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законодательством Российской Федерации.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Контрольные (надзорные) мероприятия без взаимодействия проводятся должностными лицами контрольного (надзорного)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основании заданий уполномоченных должностных лиц контрольного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(надзорного) органа, включая задания, содержащиеся в планах работы контрольного (надзорного) органа.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Плановые контрольные (надзорные) мероприятия (инспекционный визит, документарная проверка, выездная проверка) проводятся на основании плана проведения плановых контрольных (надзорных)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очередной календарный год, согласованного с органами прокуратуры.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решении о проведении контрольного (надзорного) мероприятия, подписанном уполномоченным должностным лицом контрольного (надзорного) органа, указываются сведения, установленные частью 1 статьи 64 Федерального закона № 248-ФЗ.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Индивидуальный предприниматель, являющийся контролируемым лицом, вправе представить в контрольный (надзорный) орган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невозможности присутствия при проведении контрольного (надзорного) мероприятия в случае заболевания, связанного с утратой трудоспособности.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Внеплановые контрольные (надзорные) мероприятия (инспекционный визит, документарная проверка, выездная проверка),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исключением внеплановых контрольных (надзорных)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без взаимодействия, проводятся по основаниям, предусмотренным подпунктами 1, 3 - 5 пункта 63 настоящего Положения.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Согласование контрольным (надзорным) органом с органом прокуратуры внепланового контрольного (надзорного) мероприятия осуществляется в соответствии с Федеральным законом № 248-ФЗ.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Если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устранению приступает к проведению внепланового контрольного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 посредством направления в тот же срок документов, предусмотренных частью 5 статьи 66 Федерального закона № 248-ФЗ. В этом случае уведомление контролируемого лица о проведении внепланового контрольного (надзорного) мероприятия может не проводиться.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инспекционного визита могут совершаться следующие надзорные действия:</w:t>
      </w:r>
      <w:r/>
    </w:p>
    <w:p>
      <w:pPr>
        <w:numPr>
          <w:ilvl w:val="0"/>
          <w:numId w:val="3"/>
        </w:numPr>
        <w:contextualSpacing/>
        <w:ind w:left="0"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осмотр;</w:t>
      </w:r>
      <w:r/>
    </w:p>
    <w:p>
      <w:pPr>
        <w:numPr>
          <w:ilvl w:val="0"/>
          <w:numId w:val="3"/>
        </w:numPr>
        <w:contextualSpacing/>
        <w:ind w:left="0"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опрос;</w:t>
      </w:r>
      <w:r/>
    </w:p>
    <w:p>
      <w:pPr>
        <w:numPr>
          <w:ilvl w:val="0"/>
          <w:numId w:val="3"/>
        </w:numPr>
        <w:contextualSpacing/>
        <w:ind w:left="0"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письменных объяснений;</w:t>
      </w:r>
      <w:r/>
    </w:p>
    <w:p>
      <w:pPr>
        <w:numPr>
          <w:ilvl w:val="0"/>
          <w:numId w:val="3"/>
        </w:numPr>
        <w:contextualSpacing/>
        <w:ind w:left="0"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истребование докум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Инспекционный визит проводится без предварительного уведомления контролируемого лица и собственника объекта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объекте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может превышать один рабочий день.</w:t>
      </w:r>
      <w:r/>
    </w:p>
    <w:p>
      <w:pPr>
        <w:pStyle w:val="917"/>
        <w:numPr>
          <w:ilvl w:val="0"/>
          <w:numId w:val="2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Контролируемые лица или их представители обязаны обеспечить беспрепятственный доступ инспектора на объект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</w:t>
      </w:r>
      <w:r/>
    </w:p>
    <w:p>
      <w:pPr>
        <w:numPr>
          <w:ilvl w:val="0"/>
          <w:numId w:val="8"/>
        </w:numPr>
        <w:contextualSpacing/>
        <w:ind w:left="0" w:firstLine="709"/>
        <w:jc w:val="both"/>
        <w:spacing w:after="0" w:line="276" w:lineRule="auto"/>
        <w:tabs>
          <w:tab w:val="left" w:pos="1134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Внеплановый инспекционный визит проводится при наличии оснований, указанных в подпунктах 1, 3 - 5 пункта 64 настоящего Положения.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89. Внеплановый инспекционный визит может проводиться только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согласованию с органами прокуратуры, за исключением случаев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проведения в соответствии с подпунктами 3 - 5 пункта 64 настоящего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(надзорный) орган </w:t>
      </w:r>
      <w:r>
        <w:rPr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приступает к проведению внепланового контрольного (надзорного) мероприятия незамедлительно (в течение двадцати четырех часов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после получения соответствующих сведений) с извещением об этом органа прокуратуры по месту нахождения объекта муниципального контроля.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этом случае уведомление контролируемого лица о проведении внепланового контрольного (надзорного) мероприятия может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проводиться.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90. В ходе документарной проверки могут совершаться следующие контрольные (надзорные) действия:</w:t>
      </w:r>
      <w:r/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письменных объяснений;</w:t>
      </w:r>
      <w:r/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истребование документов.</w:t>
      </w:r>
      <w:r/>
    </w:p>
    <w:p>
      <w:pPr>
        <w:pStyle w:val="917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случае, если достоверность сведений, содержащихся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документах, имеющихся в распоряжении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указанные в требовании документы.</w:t>
      </w:r>
      <w:r/>
    </w:p>
    <w:p>
      <w:pPr>
        <w:pStyle w:val="917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 документах и (или) полученным при осуществлении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информация об ошибках, о противоречиях и несоответствии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сведений направляется контролируемому лицу с требованием представить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течение десяти рабочих дней необходимые пояснения. Контролируемое лицо, представляющее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этих документах, сведениям, содержащимся в имеющихся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документах и (или) полученным при осуществлении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вправе дополнительно представить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документы, подтверждающие достоверность ранее представленных документов.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 проведении документарной проверки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не вправе требовать у контролируемого лица сведения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контрольным (надзорным)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требовании документов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орган, а также период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с момента направления контролируемому лицу информации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о выявлении ошибки (или) противоречий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в представленных контролируемым лицом документах либо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о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документах и (или) полученным при осуществлении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и требования представить необходимые пояснения в письменной форме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до момента представления указанных пояснений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Внеплановая документарная проверка проводится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 xml:space="preserve">без согласования с органами прокуратуры.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Внеплановая документарная проверка проводится при наличии оснований, указанных в пунктах 1, 3 - 5 пункта 63 настоящего Положения.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Проведение документарной проверки, предметом которой являются сведения, составляющие государственн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 должностными лицами контрольного (надзорного) органа, имеющими доступ к таким сведениям.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 выездной проверкой понимается комплексное контрольное (надзорное) мероприятие, проводимое посредством взаимодействия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Выездная проверка проводится в случае, если не представляется возможным: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им объектов муниципального контроля обязательным требованиям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без выезда на указанное место и совершения необходимых надзорных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действий, предусмотренных в рамках иного вида контрольных (надзорных) мероприятий.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Внеплановая выездная проверка может проводиться только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согласованию с органами прокуратуры, за исключением случаев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ее проведения в соответствии с подпунктами 3 - 5 пункта 63 настоящего Положения, а также при получении сведений о непосредственной угрозе причинения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реда (ущерба) охраняемым законом ценностям. В таком случае контрольный (надзорный) орган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извещением об этом органа прокуратуры по месту нахождения объекта муниципального контроля. В этом случае уведомление контролируемого лица о проведении внепланового контрольного (надзорного) мероприятия может не проводиться.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Федерального закона 248-ФЗ, если иное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предусмотрено федеральным законом о виде надзора.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выездной проверки могут совершаться следующие надзорные действия: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осмотр;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досмотр;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опрос;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письменных объяснений;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560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истребование документов.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Внеплановая выездная проверка проводится при наличии оснований, указанных в подпунктах 1, 3 - 5 пункта 63 настоящего Положения.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r/>
    </w:p>
    <w:p>
      <w:pPr>
        <w:numPr>
          <w:ilvl w:val="0"/>
          <w:numId w:val="11"/>
        </w:numPr>
        <w:contextualSpacing/>
        <w:ind w:left="0" w:firstLine="709"/>
        <w:jc w:val="both"/>
        <w:spacing w:after="0" w:line="276" w:lineRule="auto"/>
        <w:tabs>
          <w:tab w:val="left" w:pos="993" w:leader="none"/>
          <w:tab w:val="left" w:pos="1276" w:leader="none"/>
          <w:tab w:val="left" w:pos="992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микропредприятия, за исключением выездной проверки, основанием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проведения которой является наступление события, указанного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в программе проверок, и которая для микропредприятия не может продолжаться более сорока часов.</w:t>
      </w:r>
      <w:r/>
    </w:p>
    <w:p>
      <w:pPr>
        <w:pStyle w:val="75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08"/>
        <w:contextualSpacing/>
        <w:jc w:val="center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V. Результаты контрольного (надзорного) мероприятия</w:t>
      </w:r>
      <w:r/>
    </w:p>
    <w:p>
      <w:pPr>
        <w:pStyle w:val="752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908"/>
        <w:contextualSpacing/>
        <w:ind w:firstLine="709"/>
        <w:jc w:val="both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107. Результаты контрольных (надзорных) мероприятий оформляются в соответствии с главой 16 Федерального закона № 248-ФЗ.</w:t>
      </w:r>
      <w:r/>
    </w:p>
    <w:p>
      <w:pPr>
        <w:pStyle w:val="752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908"/>
        <w:contextualSpacing/>
        <w:jc w:val="center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V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Обжалование решений контрольных (надзорных) органов,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действий (бездействия) их должностных лиц</w:t>
      </w:r>
      <w:r/>
    </w:p>
    <w:p>
      <w:pPr>
        <w:pStyle w:val="752"/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108. Жалоба подается контролируемым лицом в контрольный (надзорный) орган в электронном виде с использованием ЕПГУ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РПГУ, за исключением случая, предусмотренного пунктом 109 настоящего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оложения.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109. Жалоба, содержащая сведения и документы, составляющие 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сударственную или иную охраняемую законом тайну, подается контролируемым лицом в контрольный (надзорный) орган без использования ЕПГУ и (или) РПГУ, с учетом требований законодательства Российской Федерации о государственной и иной охраняемой законом тайне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использованием специальной связи, на бумажном или электронном носителе (оптическом диске, флэш-накопителе).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110. Контролируемые лица, права и законные интересы которых,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их мнению, были непосредственно нарушены в рамках осуществления муниципального контроля имеют право на досудебное обжалование: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решений о проведении контрольных (надзорных) мероприятий;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актов контрольных (надзорных) мероприятий, предписаний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 устранении выявленных нарушений;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действий (бездействия) должностных лиц контрольного (надзорного) органа в рамках контрольных (надзорных) мероприятий.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111.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  <w:r/>
    </w:p>
    <w:p>
      <w:pPr>
        <w:pStyle w:val="917"/>
        <w:numPr>
          <w:ilvl w:val="0"/>
          <w:numId w:val="12"/>
        </w:numPr>
        <w:ind w:left="0"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  <w:r/>
    </w:p>
    <w:p>
      <w:pPr>
        <w:pStyle w:val="917"/>
        <w:numPr>
          <w:ilvl w:val="0"/>
          <w:numId w:val="12"/>
        </w:numPr>
        <w:ind w:left="0"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допускается.</w:t>
      </w:r>
      <w:r/>
    </w:p>
    <w:p>
      <w:pPr>
        <w:pStyle w:val="917"/>
        <w:numPr>
          <w:ilvl w:val="0"/>
          <w:numId w:val="12"/>
        </w:numPr>
        <w:ind w:left="0"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 может содержать ходатайство о приостановлении исполнения обжалуемого решения контрольного (надзорного) органа </w:t>
      </w:r>
      <w:r>
        <w:rPr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</w:t>
      </w:r>
      <w:r>
        <w:rPr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917"/>
        <w:numPr>
          <w:ilvl w:val="0"/>
          <w:numId w:val="12"/>
        </w:numPr>
        <w:ind w:left="0"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двух рабочих дней со дня регистрации жалобы принимает решение: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 приостановлении исполнения обжалуемого решения контрольного (надзорного) органа;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об отказе в приостановлении исполнения обжалуемого решения контрольного (надзорного) органа.</w:t>
      </w:r>
      <w:r/>
    </w:p>
    <w:p>
      <w:pPr>
        <w:numPr>
          <w:ilvl w:val="0"/>
          <w:numId w:val="12"/>
        </w:numPr>
        <w:contextualSpacing/>
        <w:ind w:left="0" w:firstLine="710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решении, указанном в пункте 133 настоящего Положения, направляется лицу, подавшему жалобу, в течение одного рабочего дня с момента принятия решения.</w:t>
      </w:r>
      <w:r/>
    </w:p>
    <w:p>
      <w:pPr>
        <w:numPr>
          <w:ilvl w:val="0"/>
          <w:numId w:val="12"/>
        </w:numPr>
        <w:contextualSpacing/>
        <w:jc w:val="both"/>
        <w:spacing w:after="0" w:line="276" w:lineRule="auto"/>
        <w:widowControl w:val="off"/>
        <w:tabs>
          <w:tab w:val="left" w:pos="851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Жалоба должна содержать: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фамилию, имя, отчество (последнее при наличии), сведения о месте жительства (месте осуществления деятельности) гражданина,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либо наименование организации-заявителя, сведения о мес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сведения об обжалуемых решении контрольного (надзорного)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действии (бездействии) его должностного лица, которые привели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или могут привести к нарушению прав контролируемого лица, подавшего жалобу;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основания и доводы, на основании которых заявитель не согласен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требования лица, подавшего жалобу;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не установлено иное.</w:t>
      </w:r>
      <w:r/>
    </w:p>
    <w:p>
      <w:pPr>
        <w:numPr>
          <w:ilvl w:val="0"/>
          <w:numId w:val="12"/>
        </w:numPr>
        <w:contextualSpacing/>
        <w:ind w:left="0" w:firstLine="710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 не должна содержать нецензурные либо оскорбительные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выражения, угрозы жизни, здоровью и имуществу должностных лиц контрольного (надзорного) органа либо членов их семей.</w:t>
      </w:r>
      <w:r/>
    </w:p>
    <w:p>
      <w:pPr>
        <w:numPr>
          <w:ilvl w:val="0"/>
          <w:numId w:val="12"/>
        </w:numPr>
        <w:contextualSpacing/>
        <w:ind w:left="0" w:firstLine="710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ему соответствующего права с помощью Федеральной государственной информационной системы «Единая система идентификации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аутентификации».</w:t>
      </w:r>
      <w:r/>
    </w:p>
    <w:p>
      <w:pPr>
        <w:numPr>
          <w:ilvl w:val="0"/>
          <w:numId w:val="12"/>
        </w:numPr>
        <w:contextualSpacing/>
        <w:ind w:left="0" w:firstLine="710"/>
        <w:jc w:val="both"/>
        <w:spacing w:after="0" w:line="276" w:lineRule="auto"/>
        <w:widowControl w:val="off"/>
        <w:tabs>
          <w:tab w:val="left" w:pos="1134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жалобе может быть приложена позиция Уполномоченного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при Президенте Российской Федерации по защите прав предпринимателей,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его общественного представителя, уполномоченного по защите прав предпринимателей в Московской области, относящаяся к предмету жалобы. Ответ на позицию Уполномоченного при Президенте Российской Федерации по защи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жалобе.</w:t>
      </w:r>
      <w:r/>
    </w:p>
    <w:p>
      <w:pPr>
        <w:numPr>
          <w:ilvl w:val="0"/>
          <w:numId w:val="12"/>
        </w:numPr>
        <w:contextualSpacing/>
        <w:ind w:left="0" w:firstLine="710"/>
        <w:jc w:val="both"/>
        <w:spacing w:after="0" w:line="276" w:lineRule="auto"/>
        <w:widowControl w:val="off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на рассмотрение жалобы орган принимает решение об отказе в рассмотрении жалобы в течение пяти рабочих дней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со дня получения жалобы, если: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жалоба подана после истечения сроков подачи жалобы, установленных пунктами 111 и 112 настоящего Положения, и не содержит ходатайства о восстановлении пропущенного срока на подачу жалобы;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до принятия решения по жалобе от контролируемого лица,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ее подавшего, поступило заявление об отзыве жалобы;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имеется решение суда по вопросам, поставленным в жалобе;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ранее в уполномоченный орган была подана другая жалоба от того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же контролируемого лица по тем же основаниям;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или обстоятельства;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жалоба подана в ненадлежащий уполномоченный орган;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</w:t>
      </w:r>
      <w:r/>
    </w:p>
    <w:p>
      <w:pPr>
        <w:numPr>
          <w:ilvl w:val="0"/>
          <w:numId w:val="12"/>
        </w:numPr>
        <w:contextualSpacing/>
        <w:ind w:left="0" w:firstLine="710"/>
        <w:jc w:val="both"/>
        <w:spacing w:after="0" w:line="276" w:lineRule="auto"/>
        <w:widowControl w:val="off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Отказ в рассмотрении жалобы по основаниям, указанным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подпунктах 3 - 8 пункта 122 настоящего Положения, не является результатом досудебного обжалования и не может служить основанием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для судебного обжалования решений контрольного (надзорного) органа, действий (бездействия) его должностных лиц.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деятельности осуществляется в порядке, установленном Правительством Российской Федерации. 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ый должностным лицом контрольного (надзорного) органа.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дня рассмотрения жалобы со дня представления жалобы, связанной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 и (или) РПГУ. Контролируемое лицо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случае невозможности присутствия на рассмотрении жалобы, связанной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со сведениями и документами, составляющими государственную или иную охраняемую законом тайну, направляет в контрольный (надзорный) орган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течение двух рабочих дней после получения извещения о назначении дня рассмотрения такой жалобы уведомление о невозможности присутствия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рассмотрении такой жалобы.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получения контрольным (надзорным) органом уведомления о невозможности присутствия на рассмотрении жалобы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онтролируемого лица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контрольном (надзорном) органе.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должен обеспечить передачу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подсистему досудебного обжалования контрольной (надзорной) деятельности сведений о ходе рассмотрения жалоб.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Жалоба подлежит рассмотрению контрольным (надзорным) органом в течение двадцати рабочих дней со дня ее регистрации.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Если для рассмотрения жалобы необходимо истребование дополнительных материалов, этот срок может быть продлен указанным органом на двадцать рабочих дней.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(надзорный) орган вправе запросить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у контролируемого лица, подавшего жалобу, дополнительную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приостан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контролируемого лица дополнительных информации и документов, относящихся к предмету жалобы, не является основанием для отказа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рассмотрении жалобы.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либо подведомственных им организаций.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Лицо, подавшее жалобу, до принятия итогового 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жалобе вправе по своему усмотрению представить дополнительные материалы, относящиеся к предмету жалобы.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контрольный (надзорный) орган, решение и (или) действие (бездействие) должностного лица которого обжалуются.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итогам рассмотрения жалобы контрольный (надзорный) орган принимает одно из следующих решений: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56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оставляет жалобу без удовлетворения;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56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отменяет решение контрольного (надзорного) органа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или частично;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56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отменяет решение контрольного (надзорного) органа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принимает новое решение;</w:t>
      </w:r>
      <w:r/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56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признает действия (бездействие) должностных лиц контрольных (надзорных) органов незаконными и выносит решение по существу,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том числе об осуществлении при необходимости определенных действий.</w:t>
      </w:r>
      <w:r/>
    </w:p>
    <w:p>
      <w:pPr>
        <w:numPr>
          <w:ilvl w:val="0"/>
          <w:numId w:val="12"/>
        </w:numPr>
        <w:contextualSpacing/>
        <w:ind w:left="0" w:firstLine="710"/>
        <w:jc w:val="both"/>
        <w:spacing w:after="0" w:line="276" w:lineRule="auto"/>
        <w:widowControl w:val="off"/>
        <w:tabs>
          <w:tab w:val="left" w:pos="0" w:leader="none"/>
          <w:tab w:val="left" w:pos="851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Предметом досудебного (внесудебного) обжалования являются действия (бездействие) должностного лица контрольного (надзорного)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органа,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</w:t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0" w:leader="none"/>
          <w:tab w:val="left" w:pos="14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контрольного (надзорного) органа, содержащее обоснование принятого решения, срок и порядок его исполнения, размещается в личном кабинете контролируемого лица на ЕПГУ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РПГУ в срок не позднее одного рабочего дня со дня его принятия.</w:t>
      </w:r>
      <w:r/>
    </w:p>
    <w:p>
      <w:pPr>
        <w:pStyle w:val="917"/>
        <w:ind w:left="0" w:firstLine="709"/>
        <w:jc w:val="both"/>
        <w:spacing w:after="0" w:line="276" w:lineRule="auto"/>
        <w:widowControl w:val="off"/>
        <w:tabs>
          <w:tab w:val="left" w:pos="142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7"/>
        <w:ind w:left="0"/>
        <w:jc w:val="center"/>
        <w:spacing w:after="0" w:line="276" w:lineRule="auto"/>
        <w:widowControl w:val="off"/>
        <w:tabs>
          <w:tab w:val="left" w:pos="142" w:leader="none"/>
          <w:tab w:val="left" w:pos="851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VI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Ключевые показатели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 и их целевые значения</w:t>
      </w:r>
      <w:r/>
    </w:p>
    <w:p>
      <w:pPr>
        <w:pStyle w:val="917"/>
        <w:ind w:left="0" w:firstLine="709"/>
        <w:jc w:val="center"/>
        <w:spacing w:after="0" w:line="276" w:lineRule="auto"/>
        <w:widowControl w:val="off"/>
        <w:tabs>
          <w:tab w:val="left" w:pos="142" w:leader="none"/>
          <w:tab w:val="left" w:pos="851" w:leader="none"/>
          <w:tab w:val="left" w:pos="1276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7"/>
        <w:numPr>
          <w:ilvl w:val="0"/>
          <w:numId w:val="12"/>
        </w:numPr>
        <w:ind w:left="0" w:firstLine="710"/>
        <w:jc w:val="both"/>
        <w:spacing w:after="0" w:line="276" w:lineRule="auto"/>
        <w:widowControl w:val="off"/>
        <w:tabs>
          <w:tab w:val="left" w:pos="14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муниципального контроля и их весовые значения, а также индикативные показатели определены в приложении 2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настоящему Положению.</w:t>
      </w:r>
      <w:r/>
    </w:p>
    <w:p>
      <w:pPr>
        <w:pStyle w:val="917"/>
        <w:ind w:left="710"/>
        <w:jc w:val="both"/>
        <w:spacing w:after="0" w:line="276" w:lineRule="auto"/>
        <w:widowControl w:val="off"/>
        <w:tabs>
          <w:tab w:val="left" w:pos="142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08"/>
        <w:contextualSpacing/>
        <w:jc w:val="center"/>
        <w:spacing w:line="276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Переходные положения</w:t>
      </w:r>
      <w:r/>
    </w:p>
    <w:p>
      <w:pPr>
        <w:pStyle w:val="907"/>
        <w:contextualSpacing/>
        <w:ind w:firstLine="710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7"/>
        <w:contextualSpacing/>
        <w:ind w:firstLine="710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137. До 31 декабря 2023 года информирование контролируемого лица </w:t>
      </w:r>
      <w:r>
        <w:rPr>
          <w:color w:val="000000" w:themeColor="text1"/>
          <w:sz w:val="28"/>
          <w:szCs w:val="28"/>
        </w:rPr>
        <w:br/>
        <w:t xml:space="preserve">о совершаемых должностными лицами контрольного (надзорного) органа </w:t>
      </w:r>
      <w:r>
        <w:rPr>
          <w:color w:val="000000" w:themeColor="text1"/>
          <w:sz w:val="28"/>
          <w:szCs w:val="28"/>
        </w:rPr>
        <w:br/>
        <w:t xml:space="preserve">и иными уполномоченными лицами действиях и принимаемых решениях</w:t>
      </w:r>
      <w:r>
        <w:rPr>
          <w:color w:val="000000" w:themeColor="text1"/>
          <w:sz w:val="28"/>
          <w:szCs w:val="28"/>
        </w:rPr>
        <w:t xml:space="preserve">, направление документов и сведений контролируемому лицу контрольным (надзорным) органом могут осуществляться, в том числе, на бумажном носителе с использованием почтовой связи в случае невозможности информирования контролируемого лица в электронной форме.</w:t>
      </w:r>
      <w:r/>
    </w:p>
    <w:p>
      <w:pPr>
        <w:pStyle w:val="907"/>
        <w:contextualSpacing/>
        <w:ind w:firstLine="710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138. До 31 декабря 2023 года указанные в пункте 137 настоящего Положения документы и сведения, а также акты контрольных (надзорных) мероприятий могут составляться и подписываться на бумажном носителе.</w:t>
      </w:r>
      <w:r/>
    </w:p>
    <w:p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 w:clear="all"/>
      </w:r>
      <w:r/>
    </w:p>
    <w:p>
      <w:pPr>
        <w:contextualSpacing/>
        <w:ind w:left="7797"/>
        <w:spacing w:after="0"/>
        <w:rPr>
          <w:rFonts w:ascii="Times New Roman" w:hAnsi="Times New Roman"/>
          <w:color w:val="00000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993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/>
        <w:ind w:left="7797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1 к Положению </w:t>
      </w:r>
      <w:r/>
    </w:p>
    <w:p>
      <w:pPr>
        <w:contextualSpacing/>
        <w:ind w:left="7797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муниципальном контроле в сфере благоустройства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Серебряные Пруды Московской области</w:t>
      </w:r>
      <w:r/>
    </w:p>
    <w:p>
      <w:pPr>
        <w:contextualSpacing/>
        <w:ind w:firstLine="709"/>
        <w:jc w:val="center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/>
        <w:jc w:val="center"/>
        <w:spacing w:after="0"/>
        <w:rPr>
          <w:rFonts w:ascii="Times New Roman" w:hAnsi="Times New Roman"/>
          <w:color w:val="000000"/>
          <w:sz w:val="28"/>
          <w:szCs w:val="28"/>
        </w:rPr>
      </w:pPr>
      <w:r/>
      <w:bookmarkStart w:id="3" w:name="Par70"/>
      <w:r/>
      <w:bookmarkEnd w:id="3"/>
      <w:r>
        <w:rPr>
          <w:rFonts w:ascii="Times New Roman" w:hAnsi="Times New Roman"/>
          <w:color w:val="000000" w:themeColor="text1"/>
          <w:sz w:val="28"/>
          <w:szCs w:val="28"/>
        </w:rPr>
        <w:t xml:space="preserve">Критерии отнесения объекта муниципального контроля к категориям риска </w:t>
      </w:r>
      <w:r/>
    </w:p>
    <w:p>
      <w:pPr>
        <w:contextualSpacing/>
        <w:jc w:val="center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Серебряные Пруды Московской области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tbl>
      <w:tblPr>
        <w:tblW w:w="1459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4884"/>
        <w:gridCol w:w="5103"/>
        <w:gridCol w:w="311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85" w:type="dxa"/>
            <w:textDirection w:val="lrTb"/>
            <w:noWrap w:val="false"/>
          </w:tcPr>
          <w:p>
            <w:pPr>
              <w:contextualSpacing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Категории риска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Критерии отнесения объектов муниципального контроля к определенной категории риска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Периодичность проведения плановых контрольных (надзорных) мероприятий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Виды плановых надзорных мероприятий:</w:t>
            </w:r>
            <w:r/>
          </w:p>
        </w:tc>
      </w:tr>
      <w:tr>
        <w:trPr>
          <w:trHeight w:val="2738"/>
        </w:trPr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1485" w:type="dxa"/>
            <w:vMerge w:val="restart"/>
            <w:textDirection w:val="lrTb"/>
            <w:noWrap w:val="false"/>
          </w:tcPr>
          <w:p>
            <w:pPr>
              <w:contextualSpacing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Значительный риск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 для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отдыха детей и их оздоровления.</w:t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объекты отдыха детей и их оздоровления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2 года </w:t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3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contextualSpacing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Общественные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области, предназначенные для прогулок, отдыха, развлечений населения.</w:t>
            </w:r>
            <w:r/>
          </w:p>
          <w:p>
            <w:pPr>
              <w:ind w:left="49" w:right="152" w:firstLine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действия (бездействия) юридических лиц,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обеспечивающих содержание общественных территорий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области, предназначенных для прогулок, отдыха, развлечений населения.</w:t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2 года </w:t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26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contextualSpacing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Детские, игровые, спортивные (физкультурно-оздоровительные) площадки на территориях общего пользования и дворовых территориях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области.</w:t>
            </w:r>
            <w:r/>
          </w:p>
          <w:p>
            <w:pPr>
              <w:ind w:firstLine="540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действия (бездействия) юридических лиц, обеспечивающих ввод в эксплуатацию детских, игровых, спортивных (физкультурно-оздоровительных) площадок и их содержание на территории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области.</w:t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2 года </w:t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93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contextualSpacing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Системы уличного и дворового освещения на территориях общего пользования и дворовых территориях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области.</w:t>
            </w:r>
            <w:r/>
          </w:p>
          <w:p>
            <w:pPr>
              <w:ind w:left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действия (бездействия) юридических лиц, обеспечивающих эксплуатацию и поддержание в исправном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состоянии систем уличного и дворового освещения на территориях общего пользования и дворовых территориях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Серебряные Пруды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Московской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2 года </w:t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bot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85" w:type="dxa"/>
            <w:textDirection w:val="lrTb"/>
            <w:noWrap w:val="false"/>
          </w:tcPr>
          <w:p>
            <w:pPr>
              <w:contextualSpacing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Средний риск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муниципальных образований Московской области  объектов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энергетики, жилищно-коммунального хозяйства, транспорта, обороны, торговли, науки, производства, строительства, общественного питания, а также прилегающие к ним территории. </w:t>
            </w:r>
            <w:r/>
          </w:p>
          <w:p>
            <w:pPr>
              <w:contextualSpacing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работы, услуги, деятельность, действия (безде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йствия) юридических лиц и индивидуальных предпринимателей, эксплуатирующих объекты энергетики, жилищно-коммунального хозяйства, транспорта, обороны, торговли, науки, производства, строительства, общественного питания, а также прилегающие к ним территории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3 года </w:t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9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85" w:type="dxa"/>
            <w:textDirection w:val="lrTb"/>
            <w:noWrap w:val="false"/>
          </w:tcPr>
          <w:p>
            <w:pPr>
              <w:contextualSpacing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Умеренный риск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муниципальных образован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ий Московской области для отдыха (рекреации), 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рекреационные общественные и озелененные территории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одно плановое надзорное мероприятие в 4 года </w:t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contextualSpacing/>
              <w:ind w:firstLine="132"/>
              <w:jc w:val="center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инспекционный визит;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проверка;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выездная проверка</w:t>
            </w:r>
            <w:r/>
          </w:p>
          <w:p>
            <w:pPr>
              <w:contextualSpacing/>
              <w:ind w:firstLine="132"/>
              <w:jc w:val="center"/>
              <w:spacing w:after="0"/>
              <w:tabs>
                <w:tab w:val="left" w:pos="312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85" w:type="dxa"/>
            <w:textDirection w:val="lrTb"/>
            <w:noWrap w:val="false"/>
          </w:tcPr>
          <w:p>
            <w:pPr>
              <w:contextualSpacing/>
              <w:ind w:hanging="10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Низкий риск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84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Территории муниципальных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образований Московской области, не относимые к территориям муниципальных образований Московской области для отдыха детей и их оздоровления, энергетики, жилищно-коммунального хозяйства, транспорта, обороны, торговли, науки, производства, строительства, общ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ественного питания, отдыха (рекреации),  систем уличного и дворового освещения на территориях общего пользования и дворовых территориях, игровым, спортивным (физкультурно-оздоровительным) площадкам на территориях общего пользования и дворовых территориях, </w:t>
            </w:r>
            <w:r/>
          </w:p>
          <w:p>
            <w:pPr>
              <w:contextualSpacing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Результаты деятельности, в том числе продукция, (товары), работы, услуги, деятельность, действия (бездействия) граждан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03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Плановые контрольные (надзорные) мероприятия не проводятся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9" w:type="dxa"/>
            <w:textDirection w:val="lrTb"/>
            <w:noWrap w:val="false"/>
          </w:tcPr>
          <w:p>
            <w:pPr>
              <w:contextualSpacing/>
              <w:ind w:firstLine="132"/>
              <w:jc w:val="center"/>
              <w:spacing w:after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Плановые контрольные (надзорные) мероприятия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не проводятся </w:t>
            </w:r>
            <w:r/>
          </w:p>
        </w:tc>
      </w:tr>
    </w:tbl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Примечание. 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Объекты муниципального контроля, не отнесенные к определенной категории риска, считаются отнесенными </w:t>
      </w:r>
      <w:r>
        <w:rPr>
          <w:color w:val="000000" w:themeColor="text1"/>
          <w:sz w:val="28"/>
          <w:szCs w:val="28"/>
        </w:rPr>
        <w:br/>
        <w:t xml:space="preserve">к категории низкого риска.</w:t>
      </w:r>
      <w:r/>
    </w:p>
    <w:p>
      <w:pPr>
        <w:pStyle w:val="907"/>
        <w:contextualSpacing/>
        <w:ind w:firstLine="709"/>
        <w:jc w:val="both"/>
        <w:spacing w:line="276" w:lineRule="auto"/>
        <w:tabs>
          <w:tab w:val="left" w:pos="1134" w:leader="none"/>
          <w:tab w:val="left" w:pos="1276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Контролируемые лица, объекты муниципального контроля которых отнесены к категориям среднего </w:t>
      </w:r>
      <w:r>
        <w:rPr>
          <w:color w:val="000000" w:themeColor="text1"/>
          <w:sz w:val="28"/>
          <w:szCs w:val="28"/>
        </w:rPr>
        <w:br/>
        <w:t xml:space="preserve">или умеренного риска, при наличии у них действующей декларации соблюде</w:t>
      </w:r>
      <w:r>
        <w:rPr>
          <w:color w:val="000000" w:themeColor="text1"/>
          <w:sz w:val="28"/>
          <w:szCs w:val="28"/>
        </w:rPr>
        <w:t xml:space="preserve">ния обязательных требований вправе подать в контрольный (надзорный) орган заявление об изменении в сторону уменьшения категории риска осуществляемой ими деятельности либо категории риска принадлежащих им (используемых ими) объектов муниципального контроля.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Изменение категории риск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осуществляемой контролируемым лицом деятельности либо категории риска принадлежащих ему (используемых им) иных объектов муниципального контроля изменяется на основе данных калькулятора риска, утверждаемого распоряжением контрольного (надзорного) органа. </w:t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/>
        <w:ind w:left="5103"/>
        <w:spacing w:after="0"/>
        <w:tabs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2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Положению </w:t>
      </w:r>
      <w:r/>
    </w:p>
    <w:p>
      <w:pPr>
        <w:contextualSpacing/>
        <w:ind w:left="5103"/>
        <w:spacing w:after="0"/>
        <w:tabs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сфере благоустройства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округа Серебряные Пруды  Московской области</w:t>
      </w:r>
      <w:r/>
    </w:p>
    <w:p>
      <w:pPr>
        <w:contextualSpacing/>
        <w:ind w:left="5387"/>
        <w:spacing w:after="0"/>
        <w:tabs>
          <w:tab w:val="left" w:pos="992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/>
        <w:ind w:firstLine="709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08"/>
        <w:contextualSpacing/>
        <w:ind w:firstLine="709"/>
        <w:jc w:val="center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Ключевые показатели </w:t>
      </w:r>
      <w:r/>
    </w:p>
    <w:p>
      <w:pPr>
        <w:pStyle w:val="908"/>
        <w:contextualSpacing/>
        <w:ind w:firstLine="709"/>
        <w:jc w:val="center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контроля в сфере благоустройства на территори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муниципального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округа Серебряные Пруды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Московской области, их целевые значения, а также индикативные показатели</w:t>
      </w:r>
      <w:r/>
    </w:p>
    <w:p>
      <w:pPr>
        <w:pStyle w:val="908"/>
        <w:contextualSpacing/>
        <w:ind w:firstLine="709"/>
        <w:jc w:val="center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919"/>
        <w:contextualSpacing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муниципального контроля в сфере благоустройства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округа Серебряные Пруды    Московской области выражаются в минимизации причинения вреда (ущерба) охраняемым законом ценностям.</w:t>
      </w:r>
      <w:r/>
    </w:p>
    <w:p>
      <w:pPr>
        <w:pStyle w:val="919"/>
        <w:contextualSpacing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 </w:t>
      </w:r>
      <w:r/>
    </w:p>
    <w:tbl>
      <w:tblPr>
        <w:tblW w:w="9618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3402"/>
        <w:gridCol w:w="3685"/>
        <w:gridCol w:w="155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textDirection w:val="lrTb"/>
            <w:noWrap w:val="false"/>
          </w:tcPr>
          <w:p>
            <w:pPr>
              <w:contextualSpacing/>
              <w:ind w:firstLine="709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ind w:firstLine="709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Цели показателя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ind w:firstLine="709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Весовое значение показателя (вес)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textDirection w:val="lrTb"/>
            <w:noWrap w:val="false"/>
          </w:tcPr>
          <w:p>
            <w:pPr>
              <w:contextualSpacing/>
              <w:ind w:firstLine="709"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Предотвращение ущерба правам, законным интересам, жизни граждан, возможность нанесения которого связана с осуществлением юридическими лицами и индивидуальными предпринимателями отдельных видов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5" w:type="dxa"/>
            <w:textDirection w:val="lrTb"/>
            <w:noWrap w:val="false"/>
          </w:tcPr>
          <w:p>
            <w:pPr>
              <w:contextualSpacing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Доля неисполненных предписаний об устранении нарушений, выявленных по результатам контрольно-надзорных мероприятий, за отчетный период*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after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0,1</w:t>
            </w:r>
            <w:r/>
          </w:p>
        </w:tc>
      </w:tr>
    </w:tbl>
    <w:p>
      <w:pPr>
        <w:contextualSpacing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 «Понижаемый» показатель.</w:t>
      </w:r>
      <w:r/>
    </w:p>
    <w:p>
      <w:pPr>
        <w:pStyle w:val="919"/>
        <w:contextualSpacing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907"/>
        <w:contextualSpacing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Индикативные показатели</w:t>
      </w:r>
      <w:r/>
    </w:p>
    <w:p>
      <w:pPr>
        <w:pStyle w:val="907"/>
        <w:contextualSpacing/>
        <w:ind w:firstLine="709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количество плановых контрольных (надзорных) мероприятий, проведенных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количество внеплановых контрольных (надзорных) мероприятий, проведенных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общее количество контрольных (надзорных)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взаимодействием, проведенных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количество контрольных (надзорных) мероприятий, проведенных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использованием средств дистанционного взаимодействия,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количество профилактических визитов, проведенных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количество контрольных (надзорных) мероприятий, по результатам которых выявлены нарушения обязательных требований,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количество контрольных (надзорных) мероприятий, по итогам которых возбуждены дела об административных правонарушениях,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10) сумма административных штрафов, наложенных по результатам контрольных (надзорных) мероприятий,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11) количество направленных в органы прокуратуры заявлений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согласовании проведения контрольных (надзорных) мероприятий,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12) количество направленных в органы прокуратуры заявлений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согласовании проведения контрольных (надзорных) мероприятий,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13) общее количество учтенных объектов контроля на конец отчетного периода;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14) количество учтенных объектов контроля, отнесенных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к категориям риска, по каждой из категорий риска, на конец отчетного периода;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15) количество учтенных контролируемых лиц на конец отчетного периода;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16) количество учтенных контролируемых лиц, в отношении которых проведены контрольные (надзорные) мероприятия,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17) общее количество жалоб, поданных контролируемыми лицами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досудебном порядке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18) количество жалоб, в отношении которых контрольным (надзорным) органом был нарушен срок рассмотрения,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19) количество жалоб, поданных контролируемыми лицами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досудебном порядке, по итогам рассмотрения которых принято 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полной либо частичной отмене решения контрольного (надзорного) органа либо о признании действий (бездействий) должностных лиц контрольного (надзорного) органа недействительными,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20)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21) количество 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  <w:r/>
    </w:p>
    <w:p>
      <w:pPr>
        <w:ind w:firstLine="851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22) количество контрольных (надзорных) мероприятий, проведенных с грубым нарушением требований к организации и осуществлению контроля (надзора), и результаты которых были признаны недействительными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отменены, за отчетный период.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07"/>
        <w:ind w:right="423"/>
        <w:jc w:val="left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7"/>
        <w:ind w:right="423"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7"/>
        <w:ind w:right="423"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</w:t>
      </w:r>
      <w:r/>
    </w:p>
    <w:p>
      <w:pPr>
        <w:pStyle w:val="907"/>
        <w:ind w:right="423"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должностных лиц службы координации энергетики и благоустройства администрации </w:t>
      </w:r>
      <w:r>
        <w:rPr>
          <w:color w:val="000000" w:themeColor="text1"/>
          <w:sz w:val="28"/>
          <w:szCs w:val="28"/>
        </w:rPr>
        <w:t xml:space="preserve">муниципального</w:t>
      </w:r>
      <w:r>
        <w:rPr>
          <w:color w:val="000000" w:themeColor="text1"/>
          <w:sz w:val="28"/>
          <w:szCs w:val="28"/>
        </w:rPr>
        <w:t xml:space="preserve"> округа Серебряные Пруды Московской области, осуществляющих </w:t>
      </w:r>
      <w:r>
        <w:rPr>
          <w:bCs/>
          <w:color w:val="000000" w:themeColor="text1"/>
          <w:sz w:val="28"/>
          <w:szCs w:val="28"/>
        </w:rPr>
        <w:t xml:space="preserve">муниципальный контроль в сфере благоустройства </w:t>
      </w:r>
      <w:r>
        <w:rPr>
          <w:color w:val="000000" w:themeColor="text1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 xml:space="preserve">муниципального</w:t>
      </w:r>
      <w:r>
        <w:rPr>
          <w:color w:val="000000" w:themeColor="text1"/>
          <w:sz w:val="28"/>
          <w:szCs w:val="28"/>
        </w:rPr>
        <w:t xml:space="preserve"> округа Серебряные Пруды    Московской области</w:t>
      </w:r>
      <w:r/>
    </w:p>
    <w:p>
      <w:pPr>
        <w:pStyle w:val="907"/>
        <w:ind w:right="423"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7"/>
        <w:ind w:right="423"/>
        <w:jc w:val="center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07"/>
        <w:ind w:firstLine="709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Муниципальный контроль в сфере благоустройства </w:t>
      </w:r>
      <w:r>
        <w:rPr>
          <w:bCs/>
          <w:color w:val="000000" w:themeColor="text1"/>
          <w:sz w:val="28"/>
          <w:szCs w:val="28"/>
        </w:rPr>
        <w:t xml:space="preserve">на территории </w:t>
      </w:r>
      <w:r>
        <w:rPr>
          <w:bCs/>
          <w:color w:val="000000" w:themeColor="text1"/>
          <w:sz w:val="28"/>
          <w:szCs w:val="28"/>
        </w:rPr>
        <w:t xml:space="preserve">муниципального</w:t>
      </w:r>
      <w:r>
        <w:rPr>
          <w:bCs/>
          <w:color w:val="000000" w:themeColor="text1"/>
          <w:sz w:val="28"/>
          <w:szCs w:val="28"/>
        </w:rPr>
        <w:t xml:space="preserve"> округа </w:t>
      </w:r>
      <w:r>
        <w:rPr>
          <w:color w:val="000000" w:themeColor="text1"/>
          <w:sz w:val="28"/>
          <w:szCs w:val="28"/>
        </w:rPr>
        <w:t xml:space="preserve">Серебряные Пруды</w:t>
      </w:r>
      <w:r>
        <w:rPr>
          <w:bCs/>
          <w:color w:val="000000" w:themeColor="text1"/>
          <w:sz w:val="28"/>
          <w:szCs w:val="28"/>
        </w:rPr>
        <w:t xml:space="preserve"> Московской области </w:t>
      </w:r>
      <w:r>
        <w:rPr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(далее - муниципальный контроль) вправе осуществлять следующие должностные лица службы координации энергетики и благоустройства  администрации </w:t>
      </w:r>
      <w:r>
        <w:rPr>
          <w:color w:val="000000" w:themeColor="text1"/>
          <w:sz w:val="28"/>
          <w:szCs w:val="28"/>
        </w:rPr>
        <w:t xml:space="preserve">муниципального</w:t>
      </w:r>
      <w:r>
        <w:rPr>
          <w:color w:val="000000" w:themeColor="text1"/>
          <w:sz w:val="28"/>
          <w:szCs w:val="28"/>
        </w:rPr>
        <w:t xml:space="preserve"> округа Серебряные Пруды Московской области:</w:t>
      </w:r>
      <w:r/>
    </w:p>
    <w:p>
      <w:pPr>
        <w:pStyle w:val="907"/>
        <w:ind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 начальник службы благоустройства;</w:t>
      </w:r>
      <w:r/>
    </w:p>
    <w:p>
      <w:pPr>
        <w:pStyle w:val="907"/>
        <w:ind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  главный консультант; </w:t>
      </w:r>
      <w:r/>
    </w:p>
    <w:p>
      <w:pPr>
        <w:pStyle w:val="907"/>
        <w:ind w:firstLine="709"/>
        <w:jc w:val="both"/>
        <w:spacing w:line="276" w:lineRule="auto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  эксперт;</w:t>
      </w:r>
      <w:r/>
    </w:p>
    <w:p>
      <w:pPr>
        <w:pStyle w:val="907"/>
        <w:ind w:firstLine="709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  эксперт.</w:t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spacing w:after="0"/>
        <w:tabs>
          <w:tab w:val="left" w:pos="485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66035720"/>
      <w:docPartObj>
        <w:docPartGallery w:val="Page Numbers (Top of Page)"/>
        <w:docPartUnique w:val="true"/>
      </w:docPartObj>
      <w:rPr/>
    </w:sdtPr>
    <w:sdtContent>
      <w:p>
        <w:pPr>
          <w:pStyle w:val="90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b/>
      </w:rPr>
    </w:pPr>
    <w:r>
      <w:rPr>
        <w:b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Times New Roman" w:hAnsi="Times New Roman" w:cs="Times New Roman"/>
        <w:color w:val="00b0f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9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67"/>
      <w:numFmt w:val="decimal"/>
      <w:isLgl w:val="false"/>
      <w:suff w:val="tab"/>
      <w:lvlText w:val="%1."/>
      <w:lvlJc w:val="left"/>
      <w:pPr>
        <w:ind w:left="9858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color w:val="00b0f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66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44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3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-73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66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59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-51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-44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-3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-30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-230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65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12"/>
      <w:numFmt w:val="decimal"/>
      <w:isLgl w:val="false"/>
      <w:suff w:val="tab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0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9858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42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ascii="Times New Roman" w:hAnsi="Times New Roman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-7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64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57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-504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-43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-3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-28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-216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5"/>
  </w:num>
  <w:num w:numId="7">
    <w:abstractNumId w:val="23"/>
  </w:num>
  <w:num w:numId="8">
    <w:abstractNumId w:val="6"/>
  </w:num>
  <w:num w:numId="9">
    <w:abstractNumId w:val="22"/>
  </w:num>
  <w:num w:numId="10">
    <w:abstractNumId w:val="18"/>
  </w:num>
  <w:num w:numId="11">
    <w:abstractNumId w:val="3"/>
  </w:num>
  <w:num w:numId="12">
    <w:abstractNumId w:val="19"/>
  </w:num>
  <w:num w:numId="13">
    <w:abstractNumId w:val="24"/>
  </w:num>
  <w:num w:numId="14">
    <w:abstractNumId w:val="2"/>
  </w:num>
  <w:num w:numId="15">
    <w:abstractNumId w:val="13"/>
  </w:num>
  <w:num w:numId="16">
    <w:abstractNumId w:val="7"/>
  </w:num>
  <w:num w:numId="17">
    <w:abstractNumId w:val="10"/>
  </w:num>
  <w:num w:numId="18">
    <w:abstractNumId w:val="0"/>
  </w:num>
  <w:num w:numId="19">
    <w:abstractNumId w:val="4"/>
  </w:num>
  <w:num w:numId="20">
    <w:abstractNumId w:val="14"/>
  </w:num>
  <w:num w:numId="21">
    <w:abstractNumId w:val="9"/>
  </w:num>
  <w:num w:numId="22">
    <w:abstractNumId w:val="17"/>
  </w:num>
  <w:num w:numId="23">
    <w:abstractNumId w:val="8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rPr>
      <w:rFonts w:eastAsia="Times New Roman" w:cs="Times New Roman"/>
      <w:lang w:eastAsia="ru-RU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>
    <w:name w:val="table of figures"/>
    <w:basedOn w:val="716"/>
    <w:next w:val="716"/>
    <w:uiPriority w:val="99"/>
    <w:unhideWhenUsed/>
    <w:pPr>
      <w:spacing w:after="0"/>
    </w:pPr>
  </w:style>
  <w:style w:type="character" w:styleId="721" w:customStyle="1">
    <w:name w:val="Heading 3 Char"/>
    <w:basedOn w:val="717"/>
    <w:link w:val="73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7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7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7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7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7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7"/>
    <w:link w:val="753"/>
    <w:uiPriority w:val="10"/>
    <w:rPr>
      <w:sz w:val="48"/>
      <w:szCs w:val="48"/>
    </w:rPr>
  </w:style>
  <w:style w:type="character" w:styleId="729" w:customStyle="1">
    <w:name w:val="Subtitle Char"/>
    <w:basedOn w:val="717"/>
    <w:link w:val="755"/>
    <w:uiPriority w:val="11"/>
    <w:rPr>
      <w:sz w:val="24"/>
      <w:szCs w:val="24"/>
    </w:rPr>
  </w:style>
  <w:style w:type="character" w:styleId="730" w:customStyle="1">
    <w:name w:val="Quote Char"/>
    <w:link w:val="757"/>
    <w:uiPriority w:val="29"/>
    <w:rPr>
      <w:i/>
    </w:rPr>
  </w:style>
  <w:style w:type="character" w:styleId="731" w:customStyle="1">
    <w:name w:val="Intense Quote Char"/>
    <w:link w:val="759"/>
    <w:uiPriority w:val="30"/>
    <w:rPr>
      <w:i/>
    </w:rPr>
  </w:style>
  <w:style w:type="character" w:styleId="732" w:customStyle="1">
    <w:name w:val="Footnote Text Char"/>
    <w:link w:val="891"/>
    <w:uiPriority w:val="99"/>
    <w:rPr>
      <w:sz w:val="18"/>
    </w:rPr>
  </w:style>
  <w:style w:type="character" w:styleId="733" w:customStyle="1">
    <w:name w:val="Endnote Text Char"/>
    <w:link w:val="894"/>
    <w:uiPriority w:val="99"/>
    <w:rPr>
      <w:sz w:val="20"/>
    </w:rPr>
  </w:style>
  <w:style w:type="paragraph" w:styleId="734" w:customStyle="1">
    <w:name w:val="Heading 1"/>
    <w:basedOn w:val="716"/>
    <w:next w:val="716"/>
    <w:link w:val="921"/>
    <w:uiPriority w:val="9"/>
    <w:qFormat/>
    <w:pPr>
      <w:keepLines/>
      <w:keepNext/>
      <w:spacing w:before="480" w:after="0"/>
      <w:outlineLvl w:val="0"/>
    </w:pPr>
    <w:rPr>
      <w:rFonts w:ascii="Cambria" w:hAnsi="Cambria" w:eastAsia="Cambria" w:cs="Cambria"/>
      <w:b/>
      <w:bCs/>
      <w:color w:val="365f91" w:themeColor="accent1" w:themeShade="BF"/>
      <w:sz w:val="28"/>
      <w:szCs w:val="28"/>
    </w:rPr>
  </w:style>
  <w:style w:type="paragraph" w:styleId="735" w:customStyle="1">
    <w:name w:val="Heading 2"/>
    <w:basedOn w:val="716"/>
    <w:link w:val="915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736" w:customStyle="1">
    <w:name w:val="Heading 3"/>
    <w:basedOn w:val="716"/>
    <w:next w:val="716"/>
    <w:link w:val="74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7" w:customStyle="1">
    <w:name w:val="Heading 4"/>
    <w:basedOn w:val="716"/>
    <w:next w:val="716"/>
    <w:link w:val="74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16"/>
    <w:next w:val="716"/>
    <w:link w:val="74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16"/>
    <w:next w:val="716"/>
    <w:link w:val="74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0" w:customStyle="1">
    <w:name w:val="Heading 7"/>
    <w:basedOn w:val="716"/>
    <w:next w:val="716"/>
    <w:link w:val="74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1" w:customStyle="1">
    <w:name w:val="Heading 8"/>
    <w:basedOn w:val="716"/>
    <w:next w:val="716"/>
    <w:link w:val="75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2" w:customStyle="1">
    <w:name w:val="Heading 9"/>
    <w:basedOn w:val="716"/>
    <w:next w:val="716"/>
    <w:link w:val="75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basedOn w:val="717"/>
    <w:link w:val="736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basedOn w:val="717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basedOn w:val="71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basedOn w:val="717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basedOn w:val="717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basedOn w:val="717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basedOn w:val="717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No Spacing"/>
    <w:uiPriority w:val="1"/>
    <w:qFormat/>
    <w:pPr>
      <w:spacing w:after="0" w:line="240" w:lineRule="auto"/>
    </w:pPr>
  </w:style>
  <w:style w:type="paragraph" w:styleId="753">
    <w:name w:val="Title"/>
    <w:basedOn w:val="716"/>
    <w:next w:val="716"/>
    <w:link w:val="754"/>
    <w:uiPriority w:val="10"/>
    <w:qFormat/>
    <w:pPr>
      <w:contextualSpacing/>
      <w:spacing w:before="300"/>
    </w:pPr>
    <w:rPr>
      <w:sz w:val="48"/>
      <w:szCs w:val="48"/>
    </w:rPr>
  </w:style>
  <w:style w:type="character" w:styleId="754" w:customStyle="1">
    <w:name w:val="Название Знак"/>
    <w:basedOn w:val="717"/>
    <w:link w:val="753"/>
    <w:uiPriority w:val="10"/>
    <w:rPr>
      <w:sz w:val="48"/>
      <w:szCs w:val="48"/>
    </w:rPr>
  </w:style>
  <w:style w:type="paragraph" w:styleId="755">
    <w:name w:val="Subtitle"/>
    <w:basedOn w:val="716"/>
    <w:next w:val="716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basedOn w:val="717"/>
    <w:link w:val="755"/>
    <w:uiPriority w:val="11"/>
    <w:rPr>
      <w:sz w:val="24"/>
      <w:szCs w:val="24"/>
    </w:rPr>
  </w:style>
  <w:style w:type="paragraph" w:styleId="757">
    <w:name w:val="Quote"/>
    <w:basedOn w:val="716"/>
    <w:next w:val="716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6"/>
    <w:next w:val="716"/>
    <w:link w:val="760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17"/>
    <w:uiPriority w:val="99"/>
  </w:style>
  <w:style w:type="character" w:styleId="762" w:customStyle="1">
    <w:name w:val="Footer Char"/>
    <w:basedOn w:val="717"/>
    <w:uiPriority w:val="99"/>
  </w:style>
  <w:style w:type="paragraph" w:styleId="763" w:customStyle="1">
    <w:name w:val="Caption"/>
    <w:basedOn w:val="716"/>
    <w:next w:val="71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>
    <w:name w:val="Table Grid"/>
    <w:basedOn w:val="7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 w:customStyle="1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 w:customStyle="1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1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2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73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74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75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876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877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8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79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80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81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82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883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884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1">
    <w:name w:val="footnote text"/>
    <w:basedOn w:val="716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basedOn w:val="717"/>
    <w:uiPriority w:val="99"/>
    <w:unhideWhenUsed/>
    <w:rPr>
      <w:vertAlign w:val="superscript"/>
    </w:rPr>
  </w:style>
  <w:style w:type="paragraph" w:styleId="894">
    <w:name w:val="endnote text"/>
    <w:basedOn w:val="716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17"/>
    <w:uiPriority w:val="99"/>
    <w:semiHidden/>
    <w:unhideWhenUsed/>
    <w:rPr>
      <w:vertAlign w:val="superscript"/>
    </w:rPr>
  </w:style>
  <w:style w:type="paragraph" w:styleId="897">
    <w:name w:val="toc 1"/>
    <w:basedOn w:val="716"/>
    <w:next w:val="716"/>
    <w:uiPriority w:val="39"/>
    <w:unhideWhenUsed/>
    <w:pPr>
      <w:spacing w:after="57"/>
    </w:pPr>
  </w:style>
  <w:style w:type="paragraph" w:styleId="898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99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900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901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902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903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904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905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09" w:customStyle="1">
    <w:name w:val="Header"/>
    <w:basedOn w:val="716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basedOn w:val="717"/>
    <w:link w:val="909"/>
    <w:uiPriority w:val="99"/>
    <w:rPr>
      <w:rFonts w:ascii="Calibri" w:hAnsi="Calibri" w:eastAsia="Times New Roman" w:cs="Times New Roman"/>
      <w:lang w:eastAsia="ru-RU"/>
    </w:rPr>
  </w:style>
  <w:style w:type="paragraph" w:styleId="911" w:customStyle="1">
    <w:name w:val="Footer"/>
    <w:basedOn w:val="716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717"/>
    <w:link w:val="911"/>
    <w:uiPriority w:val="99"/>
    <w:rPr>
      <w:rFonts w:ascii="Calibri" w:hAnsi="Calibri" w:eastAsia="Times New Roman" w:cs="Times New Roman"/>
      <w:lang w:eastAsia="ru-RU"/>
    </w:rPr>
  </w:style>
  <w:style w:type="paragraph" w:styleId="913">
    <w:name w:val="Balloon Text"/>
    <w:basedOn w:val="716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17"/>
    <w:link w:val="91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15" w:customStyle="1">
    <w:name w:val="Заголовок 2 Знак"/>
    <w:basedOn w:val="717"/>
    <w:link w:val="735"/>
    <w:uiPriority w:val="9"/>
    <w:semiHidden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16">
    <w:name w:val="Hyperlink"/>
    <w:uiPriority w:val="99"/>
    <w:unhideWhenUsed/>
    <w:rPr>
      <w:rFonts w:cs="Times New Roman"/>
      <w:color w:val="0000ff"/>
      <w:u w:val="single"/>
    </w:rPr>
  </w:style>
  <w:style w:type="paragraph" w:styleId="917">
    <w:name w:val="List Paragraph"/>
    <w:basedOn w:val="716"/>
    <w:link w:val="918"/>
    <w:uiPriority w:val="34"/>
    <w:qFormat/>
    <w:pPr>
      <w:contextualSpacing/>
      <w:ind w:left="720"/>
    </w:pPr>
  </w:style>
  <w:style w:type="character" w:styleId="918" w:customStyle="1">
    <w:name w:val="Абзац списка Знак"/>
    <w:link w:val="917"/>
    <w:uiPriority w:val="34"/>
    <w:rPr>
      <w:rFonts w:ascii="Calibri" w:hAnsi="Calibri" w:eastAsia="Times New Roman" w:cs="Times New Roman"/>
      <w:lang w:eastAsia="ru-RU"/>
    </w:rPr>
  </w:style>
  <w:style w:type="paragraph" w:styleId="919">
    <w:name w:val="annotation text"/>
    <w:basedOn w:val="716"/>
    <w:link w:val="920"/>
    <w:uiPriority w:val="99"/>
    <w:unhideWhenUsed/>
    <w:rPr>
      <w:sz w:val="20"/>
      <w:szCs w:val="20"/>
    </w:rPr>
  </w:style>
  <w:style w:type="character" w:styleId="920" w:customStyle="1">
    <w:name w:val="Текст примечания Знак"/>
    <w:basedOn w:val="717"/>
    <w:link w:val="919"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styleId="921" w:customStyle="1">
    <w:name w:val="Заголовок 1 Знак"/>
    <w:basedOn w:val="717"/>
    <w:link w:val="734"/>
    <w:uiPriority w:val="9"/>
    <w:rPr>
      <w:rFonts w:ascii="Cambria" w:hAnsi="Cambria" w:eastAsia="Cambria" w:cs="Cambria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389501&amp;dst=100087&amp;field=134&amp;date=18.04.2022" TargetMode="External"/><Relationship Id="rId12" Type="http://schemas.openxmlformats.org/officeDocument/2006/relationships/hyperlink" Target="https://login.consultant.ru/link/?req=doc&amp;base=LAW&amp;n=405832&amp;date=18.04.2022" TargetMode="External"/><Relationship Id="rId13" Type="http://schemas.openxmlformats.org/officeDocument/2006/relationships/hyperlink" Target="https://login.consultant.ru/link/?req=doc&amp;base=MOB&amp;n=347619&amp;date=18.04.2022" TargetMode="External"/><Relationship Id="rId14" Type="http://schemas.openxmlformats.org/officeDocument/2006/relationships/hyperlink" Target="https://login.consultant.ru/link/?req=doc&amp;base=MOB&amp;n=347619&amp;date=18.04.2022" TargetMode="External"/><Relationship Id="rId15" Type="http://schemas.openxmlformats.org/officeDocument/2006/relationships/hyperlink" Target="https://login.consultant.ru/link/?req=doc&amp;base=LAW&amp;n=358750&amp;date=17.05.2021&amp;dst=100548&amp;fld=134" TargetMode="External"/><Relationship Id="rId16" Type="http://schemas.openxmlformats.org/officeDocument/2006/relationships/hyperlink" Target="https://login.consultant.ru/link/?req=doc&amp;base=LAW&amp;n=358750&amp;date=17.05.2021&amp;dst=100548&amp;fld=134" TargetMode="External"/><Relationship Id="rId17" Type="http://schemas.openxmlformats.org/officeDocument/2006/relationships/hyperlink" Target="https://login.consultant.ru/link/?req=doc&amp;base=LAW&amp;n=358750&amp;date=17.05.2021&amp;dst=100225&amp;fld=134" TargetMode="External"/><Relationship Id="rId18" Type="http://schemas.openxmlformats.org/officeDocument/2006/relationships/hyperlink" Target="https://login.consultant.ru/link/?req=doc&amp;base=LAW&amp;n=358750&amp;date=17.05.2021&amp;dst=100572&amp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Екатерина Сергеевна</dc:creator>
  <cp:revision>11</cp:revision>
  <dcterms:created xsi:type="dcterms:W3CDTF">2025-02-03T08:33:00Z</dcterms:created>
  <dcterms:modified xsi:type="dcterms:W3CDTF">2025-02-07T09:31:34Z</dcterms:modified>
</cp:coreProperties>
</file>