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numPr>
          <w:ilvl w:val="0"/>
          <w:numId w:val="8"/>
        </w:numPr>
        <w:ind w:left="-284" w:firstLine="0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РОССИЙСКАЯ  ФЕДЕРАЦИЯ</w:t>
      </w:r>
      <w:r/>
    </w:p>
    <w:p>
      <w:pPr>
        <w:pStyle w:val="613"/>
        <w:numPr>
          <w:ilvl w:val="0"/>
          <w:numId w:val="8"/>
        </w:numPr>
        <w:ind w:left="-284" w:firstLine="0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СОВЕТ  ДЕПУТАТОВ</w:t>
      </w:r>
      <w:r/>
    </w:p>
    <w:p>
      <w:pPr>
        <w:pStyle w:val="612"/>
        <w:ind w:left="-284"/>
        <w:jc w:val="center"/>
        <w:rPr>
          <w:sz w:val="32"/>
        </w:rPr>
      </w:pPr>
      <w:r>
        <w:rPr>
          <w:sz w:val="32"/>
        </w:rPr>
        <w:t xml:space="preserve">МУНИЦИПАЛЬНОГО  ОКРУГА  СЕРЕБРЯНЫЕ  ПРУДЫ</w:t>
      </w:r>
      <w:r/>
    </w:p>
    <w:p>
      <w:pPr>
        <w:pStyle w:val="612"/>
        <w:ind w:left="-284"/>
        <w:jc w:val="center"/>
        <w:rPr>
          <w:sz w:val="32"/>
        </w:rPr>
      </w:pPr>
      <w:r>
        <w:rPr>
          <w:sz w:val="32"/>
        </w:rPr>
        <w:t xml:space="preserve">МОСКОВСКОЙ  ОБЛАСТИ</w:t>
      </w:r>
      <w:r/>
    </w:p>
    <w:p>
      <w:pPr>
        <w:pStyle w:val="612"/>
        <w:ind w:left="-284" w:right="-2"/>
        <w:jc w:val="center"/>
      </w:pPr>
      <w:r/>
      <w:r/>
    </w:p>
    <w:p>
      <w:pPr>
        <w:pStyle w:val="612"/>
        <w:ind w:left="-284" w:right="-2"/>
        <w:jc w:val="center"/>
        <w:rPr>
          <w:b/>
          <w:sz w:val="32"/>
        </w:rPr>
      </w:pPr>
      <w:r>
        <w:rPr>
          <w:b/>
          <w:sz w:val="32"/>
        </w:rPr>
        <w:t xml:space="preserve">Р Е Ш Е Н И Е</w:t>
      </w:r>
      <w:r/>
    </w:p>
    <w:p>
      <w:pPr>
        <w:pStyle w:val="612"/>
        <w:ind w:left="-284" w:right="-2"/>
        <w:jc w:val="center"/>
      </w:pPr>
      <w:r/>
      <w:r/>
    </w:p>
    <w:p>
      <w:pPr>
        <w:pStyle w:val="620"/>
        <w:ind w:firstLine="0"/>
        <w:jc w:val="center"/>
        <w:spacing w:before="0"/>
      </w:pPr>
      <w:r>
        <w:rPr>
          <w:szCs w:val="28"/>
        </w:rPr>
        <w:t xml:space="preserve">От 17.01.2025</w:t>
        <w:tab/>
        <w:tab/>
        <w:tab/>
        <w:tab/>
        <w:tab/>
        <w:tab/>
        <w:tab/>
        <w:tab/>
        <w:t xml:space="preserve">№ 272/40</w:t>
      </w:r>
      <w:r/>
    </w:p>
    <w:p>
      <w:pPr>
        <w:pStyle w:val="612"/>
        <w:spacing w:line="276" w:lineRule="auto"/>
        <w:rPr>
          <w:rFonts w:eastAsia="Calibri"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</w:r>
      <w:r/>
    </w:p>
    <w:tbl>
      <w:tblPr>
        <w:tblW w:w="7938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3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38" w:type="dxa"/>
            <w:vAlign w:val="top"/>
            <w:textDirection w:val="lrTb"/>
            <w:noWrap w:val="false"/>
          </w:tcPr>
          <w:p>
            <w:pPr>
              <w:pStyle w:val="61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 Контрольно-счетной палате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Серебряные Пруды Московской области, утвержденное решением Совета депутатов городского округа Серебряные Пруды Московской области от 24.12.2024 № 260/39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</w:tr>
    </w:tbl>
    <w:p>
      <w:pPr>
        <w:pStyle w:val="61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Федеральным законом от </w:t>
      </w:r>
      <w:r>
        <w:rPr>
          <w:sz w:val="28"/>
        </w:rPr>
        <w:t xml:space="preserve">0</w:t>
      </w:r>
      <w:r>
        <w:rPr>
          <w:sz w:val="28"/>
        </w:rPr>
        <w:t xml:space="preserve">6</w:t>
      </w:r>
      <w:r>
        <w:rPr>
          <w:sz w:val="28"/>
        </w:rPr>
        <w:t xml:space="preserve">.10.</w:t>
      </w:r>
      <w:r>
        <w:rPr>
          <w:sz w:val="28"/>
        </w:rPr>
        <w:t xml:space="preserve">2003 №</w:t>
      </w:r>
      <w:r>
        <w:rPr>
          <w:sz w:val="28"/>
        </w:rPr>
        <w:t xml:space="preserve"> 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Федеральным законом от 07.02.2011№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6-ФЗ «</w:t>
      </w:r>
      <w:r>
        <w:rPr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Style w:val="622"/>
          <w:color w:val="000000"/>
          <w:sz w:val="28"/>
          <w:szCs w:val="28"/>
        </w:rPr>
        <w:t xml:space="preserve">Уставом муниципального округа Серебряные Пруды Московской области</w:t>
      </w:r>
      <w:r>
        <w:rPr>
          <w:sz w:val="28"/>
          <w:szCs w:val="28"/>
        </w:rPr>
        <w:t xml:space="preserve">,</w:t>
      </w:r>
      <w:r>
        <w:t xml:space="preserve"> </w:t>
      </w:r>
      <w:r>
        <w:t xml:space="preserve"> </w:t>
      </w:r>
      <w:r>
        <w:rPr>
          <w:sz w:val="28"/>
          <w:szCs w:val="28"/>
        </w:rPr>
      </w:r>
      <w:r/>
    </w:p>
    <w:p>
      <w:pPr>
        <w:pStyle w:val="612"/>
        <w:jc w:val="center"/>
        <w:spacing w:before="100" w:beforeAutospacing="1" w:after="100" w:afterAutospacing="1"/>
        <w:rPr>
          <w:sz w:val="28"/>
          <w:szCs w:val="28"/>
        </w:rPr>
      </w:pPr>
      <w:r>
        <w:rPr>
          <w:cap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решил</w:t>
      </w:r>
      <w:r>
        <w:rPr>
          <w:sz w:val="28"/>
          <w:szCs w:val="28"/>
        </w:rPr>
        <w:t xml:space="preserve">:</w:t>
      </w:r>
      <w:r/>
    </w:p>
    <w:p>
      <w:pPr>
        <w:pStyle w:val="612"/>
        <w:numPr>
          <w:ilvl w:val="0"/>
          <w:numId w:val="7"/>
        </w:numPr>
        <w:ind w:left="0" w:firstLine="709"/>
        <w:jc w:val="both"/>
        <w:spacing w:before="120"/>
        <w:tabs>
          <w:tab w:val="left" w:pos="1134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Внести в </w:t>
      </w:r>
      <w:r>
        <w:rPr>
          <w:sz w:val="28"/>
        </w:rPr>
        <w:t xml:space="preserve">Положение о Контрольно-счетной палате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Серебряные Пруды Московской области, утвержденное решением Совета депутатов городского округа Серебряные Пруды Московской области от </w:t>
      </w:r>
      <w:r>
        <w:rPr>
          <w:sz w:val="28"/>
        </w:rPr>
        <w:t xml:space="preserve">24.12.2024 № 260/39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переименовании Контрольно-счетной палаты городского округа Серебряные Пруды Московской области и утверждении Положения о Контрольно-счетной палате муниципального округа Серебряные Пруды Московской области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следующие изменения:</w:t>
      </w:r>
      <w:r>
        <w:rPr>
          <w:sz w:val="28"/>
          <w:szCs w:val="28"/>
          <w:lang w:eastAsia="zh-CN"/>
        </w:rPr>
      </w:r>
      <w:r/>
    </w:p>
    <w:p>
      <w:pPr>
        <w:pStyle w:val="612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изложить в следующей редакции:</w:t>
      </w:r>
      <w:r>
        <w:rPr>
          <w:sz w:val="28"/>
          <w:szCs w:val="28"/>
        </w:rPr>
      </w:r>
      <w:r/>
    </w:p>
    <w:p>
      <w:pPr>
        <w:pStyle w:val="61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Настоящее Положение разработано в соответствии с Бюджетным кодексом Российской Федерации, </w:t>
      </w:r>
      <w:r>
        <w:rPr>
          <w:rFonts w:eastAsia="Calibri"/>
          <w:sz w:val="28"/>
          <w:szCs w:val="28"/>
          <w:lang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HYPERLINK "garantF1://86367.0"</w:instrText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Федеральным законом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от 06.10.2003 </w:t>
        <w:br w:type="textWrapping" w:clear="all"/>
        <w:t xml:space="preserve">№ 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HYPERLINK "garantF1://12082695.0"</w:instrText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Федеральным законом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от 07.02.2011 </w:t>
        <w:br w:type="textWrapping" w:clear="all"/>
        <w:t xml:space="preserve">№ 6-ФЗ «</w:t>
      </w:r>
      <w:r>
        <w:rPr>
          <w:rFonts w:eastAsia="Calibri"/>
          <w:sz w:val="28"/>
          <w:szCs w:val="28"/>
          <w:lang w:eastAsia="en-US"/>
        </w:rPr>
        <w:t xml:space="preserve">Об общих принципах ор</w:t>
      </w:r>
      <w:r>
        <w:rPr>
          <w:rFonts w:eastAsia="Calibri"/>
          <w:sz w:val="28"/>
          <w:szCs w:val="28"/>
          <w:lang w:eastAsia="en-US"/>
        </w:rPr>
        <w:t xml:space="preserve">ганизации и деятельности контрольно-счетных органов субъектов Российской Федерации, федеральных территорий и муниципальных образований», другими федеральными законами и иными нормативными правовыми актами Российской Федерации, законами Московской области, </w:t>
      </w:r>
      <w:r>
        <w:rPr>
          <w:rFonts w:eastAsia="Calibri"/>
          <w:sz w:val="28"/>
          <w:szCs w:val="28"/>
          <w:lang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HYPERLINK "garantF1://28850279.0"</w:instrText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Уставом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муниципального округа Серебряные Пруды Московской области и определяет порядок осуществления организации, деятельности и основные полномочия Контрольно-счетной палаты муниципального округа Серебряные Пруды Московской области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612"/>
        <w:numPr>
          <w:ilvl w:val="1"/>
          <w:numId w:val="7"/>
        </w:numPr>
        <w:ind w:left="0" w:firstLine="567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1</w:t>
      </w:r>
      <w:r>
        <w:t xml:space="preserve"> </w:t>
      </w:r>
      <w:r>
        <w:rPr>
          <w:bCs/>
          <w:sz w:val="28"/>
          <w:szCs w:val="28"/>
        </w:rPr>
        <w:t xml:space="preserve">пункт 1.4. изложить в следующей редакции:</w:t>
      </w:r>
      <w:r/>
    </w:p>
    <w:p>
      <w:pPr>
        <w:pStyle w:val="61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bookmarkStart w:id="0" w:name="sub_10014"/>
      <w:r>
        <w:rPr>
          <w:sz w:val="28"/>
          <w:szCs w:val="28"/>
        </w:rPr>
        <w:t xml:space="preserve">1.4. 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округа Серебряные Пруды Московской области. </w:t>
      </w:r>
      <w:r/>
    </w:p>
    <w:p>
      <w:pPr>
        <w:pStyle w:val="612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является муниципальным казенным учреждением. Имеет краткое наименование: КСП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Серебряные Пруды</w:t>
      </w:r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.</w:t>
      </w:r>
      <w:bookmarkEnd w:id="0"/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12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в сетевом издании «Городской округ Серебряные Пруды», доменное имя сайта в информационно-телекоммуникационной сети «Интернет»: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"http://spadm.ru" </w:instrText>
      </w:r>
      <w:r>
        <w:rPr>
          <w:sz w:val="28"/>
          <w:szCs w:val="28"/>
        </w:rPr>
        <w:fldChar w:fldCharType="separate"/>
      </w:r>
      <w:r>
        <w:rPr>
          <w:rStyle w:val="623"/>
          <w:color w:val="000000"/>
          <w:sz w:val="28"/>
          <w:szCs w:val="28"/>
          <w:u w:val="none"/>
        </w:rPr>
        <w:t xml:space="preserve">http://spadm.ru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12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</w:t>
      </w:r>
      <w:r/>
    </w:p>
    <w:p>
      <w:pPr>
        <w:pStyle w:val="612"/>
        <w:ind w:left="1211"/>
        <w:jc w:val="both"/>
        <w:spacing w:before="12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2"/>
        <w:jc w:val="both"/>
      </w:pPr>
      <w:r/>
      <w:r/>
    </w:p>
    <w:p>
      <w:pPr>
        <w:pStyle w:val="612"/>
        <w:jc w:val="both"/>
      </w:pPr>
      <w:r/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0"/>
        <w:gridCol w:w="2216"/>
        <w:gridCol w:w="16"/>
      </w:tblGrid>
      <w:tr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bottom"/>
            <w:textDirection w:val="lrTb"/>
            <w:noWrap w:val="false"/>
          </w:tcPr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депутатов</w:t>
            </w:r>
            <w:r>
              <w:rPr>
                <w:sz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</w:t>
            </w:r>
            <w:r>
              <w:rPr>
                <w:color w:val="000000"/>
                <w:sz w:val="28"/>
                <w:szCs w:val="28"/>
              </w:rPr>
              <w:t xml:space="preserve">Серебряные Пруды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Московской области</w:t>
            </w:r>
            <w:r>
              <w:rPr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16" w:type="dxa"/>
            <w:vAlign w:val="bottom"/>
            <w:textDirection w:val="lrTb"/>
            <w:noWrap w:val="false"/>
          </w:tcPr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  <w:t xml:space="preserve">В.В. Растегаев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bottom"/>
            <w:textDirection w:val="lrTb"/>
            <w:noWrap w:val="false"/>
          </w:tcPr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</w:t>
              <w:br w:type="textWrapping" w:clear="all"/>
              <w:t xml:space="preserve">Серебряные Пруды</w:t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Московской области</w:t>
            </w:r>
            <w:r>
              <w:rPr>
                <w:sz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2" w:type="dxa"/>
            <w:vAlign w:val="bottom"/>
            <w:textDirection w:val="lrTb"/>
            <w:noWrap w:val="false"/>
          </w:tcPr>
          <w:p>
            <w:pPr>
              <w:pStyle w:val="612"/>
              <w:rPr>
                <w:sz w:val="28"/>
              </w:rPr>
            </w:pPr>
            <w:r>
              <w:rPr>
                <w:sz w:val="28"/>
              </w:rPr>
              <w:t xml:space="preserve">О.В. Павлихин</w:t>
            </w:r>
            <w:r>
              <w:rPr>
                <w:sz w:val="28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1" w:bottom="170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12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12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12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12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12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12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12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12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12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2"/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2"/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2"/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2"/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2"/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2"/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2"/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2"/>
        <w:ind w:left="6262" w:hanging="180"/>
        <w:tabs>
          <w:tab w:val="num" w:pos="626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144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2"/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2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2"/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2"/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2"/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2"/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2"/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2"/>
        <w:ind w:left="324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2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1211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12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2"/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2"/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2"/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2"/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2"/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2"/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2"/>
        <w:ind w:left="3011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2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2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2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2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2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2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2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2"/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2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2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2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2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2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2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2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2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2"/>
        <w:ind w:left="66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2"/>
    <w:next w:val="61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2"/>
    <w:next w:val="61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2"/>
    <w:next w:val="61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2"/>
    <w:next w:val="61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2"/>
    <w:next w:val="61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2"/>
    <w:next w:val="61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2"/>
    <w:next w:val="61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2"/>
    <w:next w:val="61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2"/>
    <w:next w:val="61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2"/>
    <w:next w:val="61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2"/>
    <w:next w:val="61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2"/>
    <w:next w:val="61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2"/>
    <w:next w:val="61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next w:val="612"/>
    <w:link w:val="612"/>
    <w:qFormat/>
    <w:rPr>
      <w:sz w:val="24"/>
      <w:szCs w:val="24"/>
      <w:lang w:val="ru-RU" w:eastAsia="ru-RU" w:bidi="ar-SA"/>
    </w:rPr>
  </w:style>
  <w:style w:type="paragraph" w:styleId="613">
    <w:name w:val="Заголовок 1"/>
    <w:basedOn w:val="612"/>
    <w:next w:val="612"/>
    <w:link w:val="619"/>
    <w:qFormat/>
    <w:pPr>
      <w:keepNext/>
      <w:outlineLvl w:val="0"/>
    </w:pPr>
    <w:rPr>
      <w:b/>
      <w:bCs/>
      <w:sz w:val="28"/>
    </w:rPr>
  </w:style>
  <w:style w:type="paragraph" w:styleId="614">
    <w:name w:val="Заголовок 4"/>
    <w:basedOn w:val="612"/>
    <w:next w:val="612"/>
    <w:link w:val="612"/>
    <w:qFormat/>
    <w:pPr>
      <w:jc w:val="both"/>
      <w:keepNext/>
      <w:outlineLvl w:val="3"/>
    </w:pPr>
    <w:rPr>
      <w:sz w:val="28"/>
    </w:rPr>
  </w:style>
  <w:style w:type="character" w:styleId="615">
    <w:name w:val="Основной шрифт абзаца"/>
    <w:next w:val="615"/>
    <w:link w:val="612"/>
    <w:semiHidden/>
  </w:style>
  <w:style w:type="table" w:styleId="616">
    <w:name w:val="Обычная таблица"/>
    <w:next w:val="616"/>
    <w:link w:val="612"/>
    <w:semiHidden/>
    <w:tblPr/>
  </w:style>
  <w:style w:type="numbering" w:styleId="617">
    <w:name w:val="Нет списка"/>
    <w:next w:val="617"/>
    <w:link w:val="612"/>
    <w:semiHidden/>
  </w:style>
  <w:style w:type="paragraph" w:styleId="618">
    <w:name w:val="Текст выноски"/>
    <w:basedOn w:val="612"/>
    <w:next w:val="618"/>
    <w:link w:val="612"/>
    <w:semiHidden/>
    <w:rPr>
      <w:rFonts w:ascii="Tahoma" w:hAnsi="Tahoma" w:cs="Tahoma"/>
      <w:sz w:val="16"/>
      <w:szCs w:val="16"/>
    </w:rPr>
  </w:style>
  <w:style w:type="character" w:styleId="619">
    <w:name w:val="Заголовок 1 Знак"/>
    <w:next w:val="619"/>
    <w:link w:val="613"/>
    <w:rPr>
      <w:b/>
      <w:bCs/>
      <w:sz w:val="28"/>
      <w:szCs w:val="24"/>
    </w:rPr>
  </w:style>
  <w:style w:type="paragraph" w:styleId="620">
    <w:name w:val="Основной текст"/>
    <w:basedOn w:val="612"/>
    <w:next w:val="620"/>
    <w:link w:val="621"/>
    <w:pPr>
      <w:ind w:firstLine="851"/>
      <w:spacing w:before="120"/>
    </w:pPr>
    <w:rPr>
      <w:sz w:val="28"/>
      <w:lang w:eastAsia="zh-CN"/>
    </w:rPr>
  </w:style>
  <w:style w:type="character" w:styleId="621">
    <w:name w:val="Основной текст Знак"/>
    <w:next w:val="621"/>
    <w:link w:val="620"/>
    <w:rPr>
      <w:sz w:val="28"/>
      <w:szCs w:val="24"/>
      <w:lang w:eastAsia="zh-CN"/>
    </w:rPr>
  </w:style>
  <w:style w:type="character" w:styleId="622">
    <w:name w:val="Гипертекстовая ссылка"/>
    <w:next w:val="622"/>
    <w:link w:val="612"/>
    <w:uiPriority w:val="99"/>
    <w:rPr>
      <w:color w:val="008000"/>
    </w:rPr>
  </w:style>
  <w:style w:type="character" w:styleId="623">
    <w:name w:val="Гиперссылка"/>
    <w:next w:val="623"/>
    <w:link w:val="612"/>
    <w:rPr>
      <w:color w:val="0000ff"/>
      <w:u w:val="single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kfnp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revision>67</cp:revision>
  <dcterms:created xsi:type="dcterms:W3CDTF">2012-11-23T07:01:00Z</dcterms:created>
  <dcterms:modified xsi:type="dcterms:W3CDTF">2025-01-21T06:56:02Z</dcterms:modified>
  <cp:version>917504</cp:version>
</cp:coreProperties>
</file>