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Доклад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работе муниципального земельного контроля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территории м.о. Серебряные Пруды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Московской области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за </w:t>
      </w:r>
      <w:r>
        <w:rPr>
          <w:rFonts w:cs="Times New Roman" w:ascii="Times New Roman" w:hAnsi="Times New Roman"/>
          <w:b/>
          <w:sz w:val="28"/>
          <w:szCs w:val="28"/>
        </w:rPr>
        <w:t>9 месяцев</w:t>
      </w:r>
      <w:r>
        <w:rPr>
          <w:rFonts w:cs="Times New Roman" w:ascii="Times New Roman" w:hAnsi="Times New Roman"/>
          <w:b/>
          <w:sz w:val="28"/>
          <w:szCs w:val="28"/>
        </w:rPr>
        <w:t xml:space="preserve"> 2026 года                    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За 9 месяцев </w:t>
      </w:r>
      <w:r>
        <w:rPr>
          <w:rFonts w:cs="Times New Roman" w:ascii="Times New Roman" w:hAnsi="Times New Roman"/>
          <w:sz w:val="28"/>
          <w:szCs w:val="28"/>
        </w:rPr>
        <w:t xml:space="preserve">2026 года в рамках муниципального земельного контроля (далее – МЗК) было проведено </w:t>
      </w:r>
      <w:r>
        <w:rPr>
          <w:rFonts w:cs="Times New Roman" w:ascii="Times New Roman" w:hAnsi="Times New Roman"/>
          <w:sz w:val="28"/>
          <w:szCs w:val="28"/>
        </w:rPr>
        <w:t xml:space="preserve">1111 </w:t>
      </w:r>
      <w:r>
        <w:rPr>
          <w:rFonts w:cs="Times New Roman" w:ascii="Times New Roman" w:hAnsi="Times New Roman"/>
          <w:sz w:val="28"/>
          <w:szCs w:val="28"/>
        </w:rPr>
        <w:t xml:space="preserve">контрольных (надзорных) мероприятия без взаимодействия с контролируемым лицом (далее – КНМ): </w:t>
      </w:r>
      <w:r>
        <w:rPr>
          <w:rFonts w:cs="Times New Roman" w:ascii="Times New Roman" w:hAnsi="Times New Roman"/>
          <w:sz w:val="28"/>
          <w:szCs w:val="28"/>
        </w:rPr>
        <w:t xml:space="preserve">1026 </w:t>
      </w:r>
      <w:r>
        <w:rPr>
          <w:rFonts w:cs="Times New Roman" w:ascii="Times New Roman" w:hAnsi="Times New Roman"/>
          <w:sz w:val="28"/>
          <w:szCs w:val="28"/>
        </w:rPr>
        <w:t xml:space="preserve">выездных обследований и </w:t>
      </w:r>
      <w:r>
        <w:rPr>
          <w:rFonts w:cs="Times New Roman" w:ascii="Times New Roman" w:hAnsi="Times New Roman"/>
          <w:sz w:val="28"/>
          <w:szCs w:val="28"/>
        </w:rPr>
        <w:t>85</w:t>
      </w:r>
      <w:r>
        <w:rPr>
          <w:rFonts w:cs="Times New Roman" w:ascii="Times New Roman" w:hAnsi="Times New Roman"/>
          <w:sz w:val="28"/>
          <w:szCs w:val="28"/>
        </w:rPr>
        <w:t xml:space="preserve"> наблюдени</w:t>
      </w:r>
      <w:r>
        <w:rPr>
          <w:rFonts w:cs="Times New Roman" w:ascii="Times New Roman" w:hAnsi="Times New Roman"/>
          <w:sz w:val="28"/>
          <w:szCs w:val="28"/>
        </w:rPr>
        <w:t xml:space="preserve">й </w:t>
      </w:r>
      <w:r>
        <w:rPr>
          <w:rFonts w:cs="Times New Roman" w:ascii="Times New Roman" w:hAnsi="Times New Roman"/>
          <w:sz w:val="28"/>
          <w:szCs w:val="28"/>
        </w:rPr>
        <w:t xml:space="preserve">за соблюдением обязательных требований (мониторинг безопасности). </w:t>
      </w:r>
      <w:r>
        <w:rPr>
          <w:rFonts w:cs="Times New Roman" w:ascii="Times New Roman" w:hAnsi="Times New Roman"/>
          <w:sz w:val="28"/>
          <w:szCs w:val="28"/>
        </w:rPr>
        <w:t>Так же проведено одно КНМ с взаимодействием с контролируемым лицом (инспекционный визит).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>По результатам КНМ было выявлено: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sz w:val="28"/>
          <w:szCs w:val="28"/>
        </w:rPr>
        <w:t xml:space="preserve">22 нарушения в части самовольного занятия части земельного участка неразграниченной государственной собственности </w:t>
      </w:r>
      <w:r>
        <w:rPr>
          <w:rFonts w:cs="Times New Roman" w:ascii="Times New Roman" w:hAnsi="Times New Roman"/>
          <w:sz w:val="28"/>
          <w:szCs w:val="28"/>
        </w:rPr>
        <w:t>(устранено 7 нарушений)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5 нарушений земельного законодательства </w:t>
      </w:r>
      <w:r>
        <w:rPr>
          <w:rFonts w:cs="Times New Roman" w:ascii="Times New Roman" w:hAnsi="Times New Roman"/>
          <w:sz w:val="28"/>
          <w:szCs w:val="28"/>
        </w:rPr>
        <w:t xml:space="preserve">в части нецелевого использования земельного участка </w:t>
      </w:r>
      <w:r>
        <w:rPr>
          <w:rFonts w:cs="Times New Roman" w:ascii="Times New Roman" w:hAnsi="Times New Roman"/>
          <w:sz w:val="28"/>
          <w:szCs w:val="28"/>
        </w:rPr>
        <w:t>(устранено 4 нарушения)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sz w:val="28"/>
          <w:szCs w:val="28"/>
        </w:rPr>
        <w:t xml:space="preserve">13 нарушений обязательных требований по проведению мероприятий по удалению борщевика Сосновского </w:t>
      </w:r>
      <w:r>
        <w:rPr>
          <w:rFonts w:cs="Times New Roman" w:ascii="Times New Roman" w:hAnsi="Times New Roman"/>
          <w:sz w:val="28"/>
          <w:szCs w:val="28"/>
        </w:rPr>
        <w:t>(все нарушения устранены)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sz w:val="28"/>
          <w:szCs w:val="28"/>
        </w:rPr>
        <w:t xml:space="preserve">54 факта неиспользования земельного участка сельскохозяйственного назначения </w:t>
      </w:r>
      <w:r>
        <w:rPr>
          <w:rFonts w:cs="Times New Roman" w:ascii="Times New Roman" w:hAnsi="Times New Roman"/>
          <w:sz w:val="28"/>
          <w:szCs w:val="28"/>
        </w:rPr>
        <w:t>(срок исполнения предписаний — 2027 год)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 xml:space="preserve">Так же были проведены КНМ по контролю устранения нарушений, выявленных в 2025 году, на 96 земельных участках. Установлено, что 39 нарушений устранено. </w:t>
      </w:r>
      <w:r>
        <w:rPr>
          <w:rFonts w:cs="Times New Roman" w:ascii="Times New Roman" w:hAnsi="Times New Roman"/>
          <w:sz w:val="28"/>
          <w:szCs w:val="28"/>
        </w:rPr>
        <w:t xml:space="preserve">Правообладателям земельных участков, </w:t>
      </w:r>
      <w:r>
        <w:rPr>
          <w:rFonts w:cs="Times New Roman" w:ascii="Times New Roman" w:hAnsi="Times New Roman"/>
          <w:sz w:val="28"/>
          <w:szCs w:val="28"/>
        </w:rPr>
        <w:t xml:space="preserve">где нарушение не устранено, </w:t>
      </w:r>
      <w:r>
        <w:rPr>
          <w:rFonts w:cs="Times New Roman" w:ascii="Times New Roman" w:hAnsi="Times New Roman"/>
          <w:sz w:val="28"/>
          <w:szCs w:val="28"/>
        </w:rPr>
        <w:t xml:space="preserve"> было выдано </w:t>
      </w:r>
      <w:r>
        <w:rPr>
          <w:rFonts w:cs="Times New Roman" w:ascii="Times New Roman" w:hAnsi="Times New Roman"/>
          <w:sz w:val="28"/>
          <w:szCs w:val="28"/>
        </w:rPr>
        <w:t xml:space="preserve">43 повторных Предписания, а так же по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9 нарушениям дела передаются в суд для понуждения к устранению нарушений.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>Еще 32</w:t>
      </w:r>
      <w:r>
        <w:rPr>
          <w:rFonts w:cs="Times New Roman" w:ascii="Times New Roman" w:hAnsi="Times New Roman"/>
          <w:sz w:val="28"/>
          <w:szCs w:val="28"/>
        </w:rPr>
        <w:t xml:space="preserve"> Предписания об устранении выявленных нарушений обязательных требований </w:t>
      </w:r>
      <w:r>
        <w:rPr>
          <w:rFonts w:cs="Times New Roman" w:ascii="Times New Roman" w:hAnsi="Times New Roman"/>
          <w:sz w:val="28"/>
          <w:szCs w:val="28"/>
        </w:rPr>
        <w:t xml:space="preserve">выданы собственникам и арендаторам земельных участков, где нарушения были выявлены в 2026 году. </w:t>
      </w:r>
      <w:r>
        <w:rPr>
          <w:rFonts w:cs="Times New Roman" w:ascii="Times New Roman" w:hAnsi="Times New Roman"/>
          <w:sz w:val="28"/>
          <w:szCs w:val="28"/>
        </w:rPr>
        <w:t>На 01.</w:t>
      </w:r>
      <w:r>
        <w:rPr>
          <w:rFonts w:cs="Times New Roman" w:ascii="Times New Roman" w:hAnsi="Times New Roman"/>
          <w:sz w:val="28"/>
          <w:szCs w:val="28"/>
        </w:rPr>
        <w:t>10</w:t>
      </w:r>
      <w:r>
        <w:rPr>
          <w:rFonts w:cs="Times New Roman" w:ascii="Times New Roman" w:hAnsi="Times New Roman"/>
          <w:sz w:val="28"/>
          <w:szCs w:val="28"/>
        </w:rPr>
        <w:t xml:space="preserve">.2026 устранено </w:t>
      </w:r>
      <w:r>
        <w:rPr>
          <w:rFonts w:cs="Times New Roman" w:ascii="Times New Roman" w:hAnsi="Times New Roman"/>
          <w:sz w:val="28"/>
          <w:szCs w:val="28"/>
        </w:rPr>
        <w:t>18</w:t>
      </w:r>
      <w:r>
        <w:rPr>
          <w:rFonts w:cs="Times New Roman" w:ascii="Times New Roman" w:hAnsi="Times New Roman"/>
          <w:sz w:val="28"/>
          <w:szCs w:val="28"/>
        </w:rPr>
        <w:t xml:space="preserve"> нарушени</w:t>
      </w:r>
      <w:r>
        <w:rPr>
          <w:rFonts w:cs="Times New Roman" w:ascii="Times New Roman" w:hAnsi="Times New Roman"/>
          <w:sz w:val="28"/>
          <w:szCs w:val="28"/>
        </w:rPr>
        <w:t>й.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 xml:space="preserve">Правообладателям земельных участков, на которых были выявлены факты самовольного занятия земель неразграниченной государственной собственности, в отчетном периоде было выдано 24 Предостережения о недопустимости нарушения обязательных требований. На 01.10.2026 устранено </w:t>
      </w:r>
      <w:r>
        <w:rPr>
          <w:rFonts w:cs="Times New Roman" w:ascii="Times New Roman" w:hAnsi="Times New Roman"/>
          <w:sz w:val="28"/>
          <w:szCs w:val="28"/>
        </w:rPr>
        <w:t xml:space="preserve">13 </w:t>
      </w:r>
      <w:r>
        <w:rPr>
          <w:rFonts w:cs="Times New Roman" w:ascii="Times New Roman" w:hAnsi="Times New Roman"/>
          <w:sz w:val="28"/>
          <w:szCs w:val="28"/>
        </w:rPr>
        <w:t>нарушени</w:t>
      </w:r>
      <w:r>
        <w:rPr>
          <w:rFonts w:cs="Times New Roman" w:ascii="Times New Roman" w:hAnsi="Times New Roman"/>
          <w:sz w:val="28"/>
          <w:szCs w:val="28"/>
        </w:rPr>
        <w:t>й. По 11 нарушениям дела переданы в суд для понуждения к устранению нарушений. Сумма поступлений в бюджет муниципального образования от поступлений за оказания услуги перераспределения земельных участков по фактам выявленных нарушений составил</w:t>
      </w:r>
      <w:r>
        <w:rPr>
          <w:rFonts w:cs="Times New Roman" w:ascii="Times New Roman" w:hAnsi="Times New Roman"/>
          <w:sz w:val="28"/>
          <w:szCs w:val="28"/>
        </w:rPr>
        <w:t>а 551 755 руб.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>Всего за 9 месяцев 2026 года в суд было направлено 19 дел о понуждении к устранению нарушения, а так же 8 дел о привлечении к административной ответственности за неисполнение законно выданного предписания контролирующим органом (ч. 1 ст. 19.5 КоАПР). Сумма наложенных штрафов составила 12 500 руб.</w:t>
      </w:r>
    </w:p>
    <w:p>
      <w:pPr>
        <w:pStyle w:val="Normal"/>
        <w:spacing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отчетном периоде в рамках осуществления муниципального земельного контроля было рассмотрено </w:t>
      </w:r>
      <w:r>
        <w:rPr>
          <w:rFonts w:cs="Times New Roman" w:ascii="Times New Roman" w:hAnsi="Times New Roman"/>
          <w:sz w:val="28"/>
          <w:szCs w:val="28"/>
        </w:rPr>
        <w:t>47</w:t>
      </w:r>
      <w:r>
        <w:rPr>
          <w:rFonts w:cs="Times New Roman" w:ascii="Times New Roman" w:hAnsi="Times New Roman"/>
          <w:sz w:val="28"/>
          <w:szCs w:val="28"/>
        </w:rPr>
        <w:t xml:space="preserve"> обращени</w:t>
      </w:r>
      <w:r>
        <w:rPr>
          <w:rFonts w:cs="Times New Roman" w:ascii="Times New Roman" w:hAnsi="Times New Roman"/>
          <w:sz w:val="28"/>
          <w:szCs w:val="28"/>
        </w:rPr>
        <w:t>й</w:t>
      </w:r>
      <w:r>
        <w:rPr>
          <w:rFonts w:cs="Times New Roman" w:ascii="Times New Roman" w:hAnsi="Times New Roman"/>
          <w:sz w:val="28"/>
          <w:szCs w:val="28"/>
        </w:rPr>
        <w:t xml:space="preserve"> граждан по вопросу соблюдения правообладателями земельных участков требований земельного законодательства. По каждому обращению было проведено выездное обследование с целью проверки соблюдения обязательных требований на указанных земельных участках. Правообладателям, допустившим нарушения, были выданы Предостережения </w:t>
      </w:r>
      <w:r>
        <w:rPr>
          <w:rFonts w:cs="Times New Roman" w:ascii="Times New Roman" w:hAnsi="Times New Roman"/>
          <w:sz w:val="28"/>
          <w:szCs w:val="28"/>
        </w:rPr>
        <w:t xml:space="preserve">либо Предписание </w:t>
      </w:r>
      <w:r>
        <w:rPr>
          <w:rFonts w:cs="Times New Roman" w:ascii="Times New Roman" w:hAnsi="Times New Roman"/>
          <w:sz w:val="28"/>
          <w:szCs w:val="28"/>
        </w:rPr>
        <w:t>о недопустимости нарушения обязательных требований.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ab/>
        <w:t>Всем заявителям были даны ответы на поставленные вопросы в установленные законодательством сроки.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Постановлением Администрации муниципального округа от 19.11.2025 года № 1975 была утверждена «Ведомственная программа профилактики рисков причинения вреда (ущерба) охраняемым законом ценностям муниципального земельного контроля на территории муниципального округа Серебряные Пруды Московской области на 2026 год» (далее – Программа).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Задачами Программы являются: </w:t>
      </w:r>
    </w:p>
    <w:p>
      <w:pPr>
        <w:pStyle w:val="ListParagraph"/>
        <w:numPr>
          <w:ilvl w:val="0"/>
          <w:numId w:val="2"/>
        </w:numPr>
        <w:spacing w:before="0" w:after="0"/>
        <w:ind w:hanging="0" w:left="0" w:righ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выявление причин, факторов и условий, способствующих нарушению обязательных требований в сфере муниципального земельного контроля, определение способов устранения или снижения рисков их возникновения;</w:t>
      </w:r>
    </w:p>
    <w:p>
      <w:pPr>
        <w:pStyle w:val="ListParagraph"/>
        <w:numPr>
          <w:ilvl w:val="0"/>
          <w:numId w:val="1"/>
        </w:numPr>
        <w:spacing w:before="0" w:after="0"/>
        <w:ind w:hanging="0" w:left="0" w:righ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устранение причин, факторов и условий, способствующих нарушению обязательных требований;</w:t>
      </w:r>
    </w:p>
    <w:p>
      <w:pPr>
        <w:pStyle w:val="ListParagraph"/>
        <w:numPr>
          <w:ilvl w:val="0"/>
          <w:numId w:val="1"/>
        </w:numPr>
        <w:spacing w:before="0" w:after="0"/>
        <w:ind w:hanging="0" w:left="0" w:righ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повышение уровня правовой грамотности подконтрольных контролируемых лиц, в том числе путем обеспечения доступности информации об обязательных требованиях </w:t>
        <w:br/>
        <w:t>и необходимых мерах по их исполнению;</w:t>
      </w:r>
    </w:p>
    <w:p>
      <w:pPr>
        <w:pStyle w:val="ListParagraph"/>
        <w:numPr>
          <w:ilvl w:val="0"/>
          <w:numId w:val="1"/>
        </w:numPr>
        <w:spacing w:before="0" w:after="0"/>
        <w:ind w:hanging="0" w:left="0" w:righ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определение перечня видов и сбор статистических данных, необходимых для организации профилактической работы;</w:t>
      </w:r>
    </w:p>
    <w:p>
      <w:pPr>
        <w:pStyle w:val="ListParagraph"/>
        <w:numPr>
          <w:ilvl w:val="0"/>
          <w:numId w:val="1"/>
        </w:numPr>
        <w:spacing w:before="0" w:after="0"/>
        <w:ind w:hanging="0" w:left="0" w:righ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повышение квалификации кадрового состава органа муниципального земельного контроля;</w:t>
      </w:r>
    </w:p>
    <w:p>
      <w:pPr>
        <w:pStyle w:val="ListParagraph"/>
        <w:numPr>
          <w:ilvl w:val="0"/>
          <w:numId w:val="1"/>
        </w:numPr>
        <w:spacing w:before="0" w:after="0"/>
        <w:ind w:hanging="0" w:left="0" w:righ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создание системы консультирования подконтрольных контролируемых лиц, в том числе с использованием современных информационно-телекоммуникационных технологий;</w:t>
      </w:r>
    </w:p>
    <w:p>
      <w:pPr>
        <w:pStyle w:val="ListParagraph"/>
        <w:numPr>
          <w:ilvl w:val="0"/>
          <w:numId w:val="1"/>
        </w:numPr>
        <w:spacing w:before="0" w:after="0"/>
        <w:ind w:hanging="0" w:left="0" w:righ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формирование одинакового понимания обязательных требований в сфере муниципального земельного контроля у всех участников контрольно-надзорной деятельности на территории Московской области.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выполнения Программы проведены следующие профилактические мероприятия:</w:t>
      </w:r>
    </w:p>
    <w:p>
      <w:pPr>
        <w:pStyle w:val="ListParagraph"/>
        <w:numPr>
          <w:ilvl w:val="0"/>
          <w:numId w:val="4"/>
        </w:numPr>
        <w:spacing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  <w:highlight w:val="white"/>
        </w:rPr>
        <w:t>88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white"/>
        </w:rPr>
        <w:t xml:space="preserve"> консультации,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том числе на личном приеме, во время проведения профилактических мероприятий, по телефону;</w:t>
      </w:r>
    </w:p>
    <w:p>
      <w:pPr>
        <w:pStyle w:val="ListParagraph"/>
        <w:numPr>
          <w:ilvl w:val="0"/>
          <w:numId w:val="3"/>
        </w:numPr>
        <w:pBdr/>
        <w:spacing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средствах массовой информации (местная газета, сайт администрации, официальные группы администрации в социальных сетях) </w:t>
      </w:r>
      <w:r>
        <w:rPr>
          <w:rFonts w:cs="Times New Roman" w:ascii="Times New Roman" w:hAnsi="Times New Roman"/>
          <w:sz w:val="28"/>
          <w:szCs w:val="28"/>
        </w:rPr>
        <w:t xml:space="preserve">размещено 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white"/>
        </w:rPr>
        <w:t xml:space="preserve">публикации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по вопросам соблюдения обязательных требований и материалов с разъяснениями земельного законодательства</w:t>
      </w:r>
      <w:r>
        <w:rPr>
          <w:rFonts w:cs="Times New Roman" w:ascii="Times New Roman" w:hAnsi="Times New Roman"/>
          <w:sz w:val="28"/>
          <w:szCs w:val="28"/>
        </w:rPr>
        <w:t xml:space="preserve"> (информирование);</w:t>
      </w:r>
    </w:p>
    <w:p>
      <w:pPr>
        <w:pStyle w:val="ListParagraph"/>
        <w:numPr>
          <w:ilvl w:val="0"/>
          <w:numId w:val="3"/>
        </w:numPr>
        <w:pBdr/>
        <w:spacing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выдано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white"/>
        </w:rPr>
        <w:t xml:space="preserve"> предостережени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white"/>
        </w:rPr>
        <w:t>я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white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о недопущении нарушения обязательных требований.</w:t>
      </w:r>
    </w:p>
    <w:p>
      <w:pPr>
        <w:pStyle w:val="Normal"/>
        <w:pBdr/>
        <w:spacing w:before="0" w:after="0"/>
        <w:ind w:firstLine="709" w:left="0" w:right="0"/>
        <w:jc w:val="both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sz w:val="28"/>
          <w:szCs w:val="28"/>
        </w:rPr>
        <w:t xml:space="preserve">По результатам проведения профилактических мероприятий в </w:t>
      </w:r>
      <w:r>
        <w:rPr>
          <w:rFonts w:cs="Times New Roman" w:ascii="Times New Roman" w:hAnsi="Times New Roman"/>
          <w:sz w:val="28"/>
          <w:szCs w:val="28"/>
        </w:rPr>
        <w:t>отчетном периоде</w:t>
      </w:r>
      <w:r>
        <w:rPr>
          <w:rFonts w:cs="Times New Roman" w:ascii="Times New Roman" w:hAnsi="Times New Roman"/>
          <w:sz w:val="28"/>
          <w:szCs w:val="28"/>
        </w:rPr>
        <w:t xml:space="preserve"> было устранено </w:t>
      </w:r>
      <w:r>
        <w:rPr>
          <w:rFonts w:cs="Times New Roman" w:ascii="Times New Roman" w:hAnsi="Times New Roman"/>
          <w:sz w:val="28"/>
          <w:szCs w:val="28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нарушени</w:t>
      </w:r>
      <w:r>
        <w:rPr>
          <w:rFonts w:cs="Times New Roman" w:ascii="Times New Roman" w:hAnsi="Times New Roman"/>
          <w:sz w:val="28"/>
          <w:szCs w:val="28"/>
        </w:rPr>
        <w:t>й</w:t>
      </w:r>
      <w:r>
        <w:rPr>
          <w:rFonts w:cs="Times New Roman" w:ascii="Times New Roman" w:hAnsi="Times New Roman"/>
          <w:sz w:val="28"/>
          <w:szCs w:val="28"/>
        </w:rPr>
        <w:t xml:space="preserve"> обязательных требований земельного законодательства.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Инспекторы МЗК осуществляют мероприятия по выявлению нарушений земельного законодательства, в том числе: признаки неиспользования или нецелевого использования земельных участков, самовольного занятия части земельного участка неразграниченной государственной собственности, очаги произрастания борщевика Сосновского, а также оказывают содействие налоговым органам.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Продолжается работа по устранению нарушений, выявленных ранее. Так, из </w:t>
      </w:r>
      <w:r>
        <w:rPr>
          <w:rFonts w:cs="Times New Roman" w:ascii="Times New Roman" w:hAnsi="Times New Roman"/>
          <w:sz w:val="28"/>
          <w:szCs w:val="28"/>
        </w:rPr>
        <w:t xml:space="preserve">11 </w:t>
      </w:r>
      <w:r>
        <w:rPr>
          <w:rFonts w:cs="Times New Roman" w:ascii="Times New Roman" w:hAnsi="Times New Roman"/>
          <w:sz w:val="28"/>
          <w:szCs w:val="28"/>
        </w:rPr>
        <w:t xml:space="preserve">земельных участков, на которых в 2024 и 2025 году были выявлены самовольные занятия части земельных участков неразграниченной государственной собственности, на 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земельных участках нарушения устранены. Правообладатели 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земельных участков проводят мероприятия по устранению нарушений (перераспределение земельных участков). По 5 нарушениям имеются положительные решения суда о понуждении правообладателей к устранению нарушений.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</w:t>
      </w:r>
      <w:r>
        <w:rPr>
          <w:rFonts w:cs="Times New Roman" w:ascii="Times New Roman" w:hAnsi="Times New Roman"/>
          <w:sz w:val="28"/>
          <w:szCs w:val="28"/>
        </w:rPr>
        <w:t>отчетном периоде</w:t>
      </w:r>
      <w:r>
        <w:rPr>
          <w:rFonts w:cs="Times New Roman" w:ascii="Times New Roman" w:hAnsi="Times New Roman"/>
          <w:sz w:val="28"/>
          <w:szCs w:val="28"/>
        </w:rPr>
        <w:t xml:space="preserve"> была продолжена работа по устранению нарушений земельного законодательства в части нецелевого использования. Материалы двух дел переданы в суд для понуждения к устранению нарушений. Одно нарушение на 01.</w:t>
      </w:r>
      <w:r>
        <w:rPr>
          <w:rFonts w:cs="Times New Roman" w:ascii="Times New Roman" w:hAnsi="Times New Roman"/>
          <w:sz w:val="28"/>
          <w:szCs w:val="28"/>
        </w:rPr>
        <w:t>10</w:t>
      </w:r>
      <w:r>
        <w:rPr>
          <w:rFonts w:cs="Times New Roman" w:ascii="Times New Roman" w:hAnsi="Times New Roman"/>
          <w:sz w:val="28"/>
          <w:szCs w:val="28"/>
        </w:rPr>
        <w:t>.2026 устранено.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В рамках выполнения П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рограммы проводится Информирование контролируемых лиц, в том числе путем актуализации и размещения на официальном сайте в разделе «Контрольно-надзорная деятельность» нормативно-правовых актов, разъяснительных материалов, Руководства по соблюдению обязательных требований, Методических рекомендаций по проведению самообследования и иные материалы информационного характера, </w:t>
      </w:r>
      <w:r>
        <w:rPr>
          <w:rFonts w:cs="Times New Roman" w:ascii="Times New Roman" w:hAnsi="Times New Roman"/>
          <w:sz w:val="28"/>
          <w:szCs w:val="28"/>
        </w:rPr>
        <w:t>информации о наиболее распространенных нарушениях земельного законодательства.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Основными нарушениями земельного законодательства, на которые были направлены профилактические мероприятия, являются: неиспользование земельного участка; нецелевое использование земельного участка; самовольное занятие части земельного участка неразграниченной государственной собственности; непроведение мероприятий по удалению борщевика Сосновского.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–"/>
      <w:lvlJc w:val="left"/>
      <w:pPr>
        <w:tabs>
          <w:tab w:val="num" w:pos="0"/>
        </w:tabs>
        <w:ind w:left="1417" w:hanging="360"/>
      </w:pPr>
      <w:rPr>
        <w:rFonts w:ascii="Arial" w:hAnsi="Arial" w:cs="Aria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2137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857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3577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4297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5017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737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6457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7177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isLgl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isLgl/>
      <w:numFmt w:val="bullet"/>
      <w:lvlText w:val="–"/>
      <w:lvlJc w:val="left"/>
      <w:pPr>
        <w:tabs>
          <w:tab w:val="num" w:pos="0"/>
        </w:tabs>
        <w:ind w:left="1418" w:hanging="360"/>
      </w:pPr>
      <w:rPr>
        <w:rFonts w:ascii="Arial" w:hAnsi="Arial" w:cs="Aria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2138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858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3578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4298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5018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738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6458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7178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isLgl/>
      <w:numFmt w:val="bullet"/>
      <w:lvlText w:val="–"/>
      <w:lvlJc w:val="left"/>
      <w:pPr>
        <w:tabs>
          <w:tab w:val="num" w:pos="0"/>
        </w:tabs>
        <w:ind w:left="1276" w:hanging="360"/>
      </w:pPr>
      <w:rPr>
        <w:rFonts w:ascii="Arial" w:hAnsi="Arial" w:cs="Arial" w:hint="default"/>
      </w:rPr>
    </w:lvl>
    <w:lvl w:ilvl="1">
      <w:start w:val="1"/>
      <w:isLgl/>
      <w:numFmt w:val="bullet"/>
      <w:lvlText w:val="o"/>
      <w:lvlJc w:val="left"/>
      <w:pPr>
        <w:tabs>
          <w:tab w:val="num" w:pos="0"/>
        </w:tabs>
        <w:ind w:left="1996" w:hanging="360"/>
      </w:pPr>
      <w:rPr>
        <w:rFonts w:ascii="Courier New" w:hAnsi="Courier New" w:cs="Courier New" w:hint="default"/>
      </w:rPr>
    </w:lvl>
    <w:lvl w:ilvl="2">
      <w:start w:val="1"/>
      <w:isLgl/>
      <w:numFmt w:val="bullet"/>
      <w:lvlText w:val="§"/>
      <w:lvlJc w:val="left"/>
      <w:pPr>
        <w:tabs>
          <w:tab w:val="num" w:pos="0"/>
        </w:tabs>
        <w:ind w:left="2716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·"/>
      <w:lvlJc w:val="left"/>
      <w:pPr>
        <w:tabs>
          <w:tab w:val="num" w:pos="0"/>
        </w:tabs>
        <w:ind w:left="3436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o"/>
      <w:lvlJc w:val="left"/>
      <w:pPr>
        <w:tabs>
          <w:tab w:val="num" w:pos="0"/>
        </w:tabs>
        <w:ind w:left="4156" w:hanging="360"/>
      </w:pPr>
      <w:rPr>
        <w:rFonts w:ascii="Courier New" w:hAnsi="Courier New" w:cs="Courier New" w:hint="default"/>
      </w:rPr>
    </w:lvl>
    <w:lvl w:ilvl="5">
      <w:start w:val="1"/>
      <w:isLgl/>
      <w:numFmt w:val="bullet"/>
      <w:lvlText w:val="§"/>
      <w:lvlJc w:val="left"/>
      <w:pPr>
        <w:tabs>
          <w:tab w:val="num" w:pos="0"/>
        </w:tabs>
        <w:ind w:left="4876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·"/>
      <w:lvlJc w:val="left"/>
      <w:pPr>
        <w:tabs>
          <w:tab w:val="num" w:pos="0"/>
        </w:tabs>
        <w:ind w:left="5596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o"/>
      <w:lvlJc w:val="left"/>
      <w:pPr>
        <w:tabs>
          <w:tab w:val="num" w:pos="0"/>
        </w:tabs>
        <w:ind w:left="6316" w:hanging="360"/>
      </w:pPr>
      <w:rPr>
        <w:rFonts w:ascii="Courier New" w:hAnsi="Courier New" w:cs="Courier New" w:hint="default"/>
      </w:rPr>
    </w:lvl>
    <w:lvl w:ilvl="8">
      <w:start w:val="1"/>
      <w:isLgl/>
      <w:numFmt w:val="bullet"/>
      <w:lvlText w:val="§"/>
      <w:lvlJc w:val="left"/>
      <w:pPr>
        <w:tabs>
          <w:tab w:val="num" w:pos="0"/>
        </w:tabs>
        <w:ind w:left="7036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7" w:customStyle="1">
    <w:name w:val="Текст примечания Знак"/>
    <w:basedOn w:val="DefaultParagraphFont"/>
    <w:uiPriority w:val="99"/>
    <w:semiHidden/>
    <w:qFormat/>
    <w:rPr>
      <w:sz w:val="20"/>
      <w:szCs w:val="20"/>
    </w:rPr>
  </w:style>
  <w:style w:type="character" w:styleId="Style8" w:customStyle="1">
    <w:name w:val="Тема примечания Знак"/>
    <w:basedOn w:val="Style7"/>
    <w:uiPriority w:val="99"/>
    <w:semiHidden/>
    <w:qFormat/>
    <w:rPr>
      <w:b/>
      <w:bCs/>
      <w:sz w:val="20"/>
      <w:szCs w:val="20"/>
    </w:rPr>
  </w:style>
  <w:style w:type="character" w:styleId="Style9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left="720" w:right="720"/>
    </w:pPr>
    <w:rPr>
      <w:i/>
    </w:rPr>
  </w:style>
  <w:style w:type="paragraph" w:styleId="Style12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TableParagraph" w:customStyle="1">
    <w:name w:val="Table Paragraph"/>
    <w:basedOn w:val="Normal"/>
    <w:uiPriority w:val="1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lang w:eastAsia="ru-RU" w:bidi="ru-RU"/>
    </w:rPr>
  </w:style>
  <w:style w:type="paragraph" w:styleId="-11" w:customStyle="1">
    <w:name w:val="Цветной список - Акцент 11"/>
    <w:basedOn w:val="Normal"/>
    <w:uiPriority w:val="34"/>
    <w:qFormat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CommentText">
    <w:name w:val="annotation text"/>
    <w:basedOn w:val="Normal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uiPriority w:val="99"/>
    <w:semiHidden/>
    <w:unhideWhenUsed/>
    <w:qFormat/>
    <w:pPr/>
    <w:rPr>
      <w:b/>
      <w:bCs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pPr>
      <w:keepNext w:val="false"/>
      <w:keepLines w:val="false"/>
      <w:pageBreakBefore w:val="false"/>
      <w:widowControl w:val="false"/>
      <w:pBdr/>
      <w:shd w:val="nil" w:color="000000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" w:cs="Times New Roman" w:eastAsiaTheme="minorEastAsia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Style13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LibreOffice/25.2.6.2$Linux_X86_64 LibreOffice_project/520$Build-2</Application>
  <AppVersion>15.0000</AppVersion>
  <Pages>3</Pages>
  <Words>823</Words>
  <Characters>6239</Characters>
  <CharactersWithSpaces>7049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2023-06-21T13:55:00Z</dcterms:created>
  <dc:creator>user</dc:creator>
  <dc:description/>
  <dc:language>ru-RU</dc:language>
  <cp:lastModifiedBy/>
  <dcterms:modified xsi:type="dcterms:W3CDTF">2026-09-22T11:37:03Z</dcterms:modified>
  <cp:revision>18</cp:revision>
  <dc:subject/>
  <dc:title/>
</cp:coreProperties>
</file>