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right"/>
        <w:spacing w:after="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ПРОЕКТ</w:t>
      </w:r>
      <w:r/>
      <w:r>
        <w:rPr>
          <w:rFonts w:ascii="Times New Roman" w:hAnsi="Times New Roman" w:cs="Times New Roman"/>
          <w:sz w:val="32"/>
          <w:szCs w:val="32"/>
        </w:rPr>
      </w:r>
      <w:r/>
      <w:r>
        <w:rPr>
          <w:rFonts w:ascii="Times New Roman" w:hAnsi="Times New Roman" w:cs="Times New Roman"/>
          <w:color w:val="ffffff" w:themeColor="background1"/>
          <w:sz w:val="32"/>
          <w:szCs w:val="32"/>
        </w:rPr>
      </w:r>
    </w:p>
    <w:p>
      <w:pPr>
        <w:pStyle w:val="600"/>
        <w:ind w:left="0" w:firstLine="72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РОССИЙСКАЯ ФЕДЕРАЦИЯ</w:t>
      </w:r>
      <w:r>
        <w:rPr>
          <w:rFonts w:ascii="TimesNewRomanCYR" w:hAnsi="TimesNewRomanCYR" w:eastAsia="TimesNewRomanCYR" w:cs="TimesNewRomanCYR"/>
          <w:sz w:val="24"/>
        </w:rPr>
      </w:r>
      <w:r/>
    </w:p>
    <w:p>
      <w:pPr>
        <w:pStyle w:val="600"/>
        <w:ind w:left="0" w:firstLine="72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СОВЕТ ДЕПУТАТОВ</w:t>
      </w:r>
      <w:r>
        <w:rPr>
          <w:rFonts w:ascii="TimesNewRomanCYR" w:hAnsi="TimesNewRomanCYR" w:eastAsia="TimesNewRomanCYR" w:cs="TimesNewRomanCYR"/>
          <w:sz w:val="24"/>
        </w:rPr>
      </w:r>
      <w:r/>
    </w:p>
    <w:p>
      <w:pPr>
        <w:pStyle w:val="600"/>
        <w:ind w:left="0" w:firstLine="72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МУНИЦИПАЛЬНОГО ОКРУГА СЕРЕБРЯНЫЕ ПРУДЫ</w:t>
      </w:r>
      <w:r>
        <w:rPr>
          <w:rFonts w:ascii="TimesNewRomanCYR" w:hAnsi="TimesNewRomanCYR" w:eastAsia="TimesNewRomanCYR" w:cs="TimesNewRomanCYR"/>
          <w:sz w:val="24"/>
        </w:rPr>
      </w:r>
      <w:r/>
    </w:p>
    <w:p>
      <w:pPr>
        <w:pStyle w:val="600"/>
        <w:ind w:left="0" w:firstLine="72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МОСКОВСКОЙ  ОБЛАСТИ</w:t>
      </w:r>
      <w:r>
        <w:rPr>
          <w:rFonts w:ascii="TimesNewRomanCYR" w:hAnsi="TimesNewRomanCYR" w:eastAsia="TimesNewRomanCYR" w:cs="TimesNewRomanCYR"/>
          <w:sz w:val="24"/>
        </w:rPr>
      </w:r>
      <w:r/>
    </w:p>
    <w:p>
      <w:pPr>
        <w:pStyle w:val="607"/>
        <w:jc w:val="left"/>
        <w:spacing w:before="0" w:after="0" w:line="240" w:lineRule="auto"/>
      </w:pPr>
      <w:r>
        <w:rPr>
          <w:sz w:val="24"/>
        </w:rPr>
      </w:r>
      <w:r>
        <w:rPr>
          <w:sz w:val="24"/>
        </w:rPr>
      </w:r>
      <w:r/>
    </w:p>
    <w:p>
      <w:pPr>
        <w:pStyle w:val="600"/>
        <w:ind w:left="0" w:firstLine="72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 РЕШЕНИЕ                                                             </w:t>
      </w:r>
      <w:r>
        <w:rPr>
          <w:rFonts w:ascii="TimesNewRomanCYR" w:hAnsi="TimesNewRomanCYR" w:eastAsia="TimesNewRomanCYR" w:cs="TimesNewRomanCYR"/>
          <w:sz w:val="24"/>
        </w:rPr>
      </w:r>
      <w:r/>
    </w:p>
    <w:p>
      <w:pPr>
        <w:pStyle w:val="600"/>
        <w:ind w:left="0" w:firstLine="0"/>
        <w:jc w:val="left"/>
        <w:spacing w:before="0" w:after="0" w:line="240" w:lineRule="auto"/>
      </w:pPr>
      <w:r>
        <w:rPr>
          <w:rFonts w:ascii="TimesNewRoman" w:hAnsi="TimesNewRoman" w:eastAsia="TimesNewRoman" w:cs="TimesNewRoman"/>
          <w:sz w:val="32"/>
        </w:rPr>
        <w:t xml:space="preserve">                </w:t>
      </w:r>
      <w:r>
        <w:rPr>
          <w:rFonts w:ascii="TimesNewRoman" w:hAnsi="TimesNewRoman" w:eastAsia="TimesNewRoman" w:cs="TimesNewRoman"/>
          <w:sz w:val="28"/>
        </w:rPr>
        <w:t xml:space="preserve">От 05.02.2025                                                                 № 285/41</w:t>
      </w:r>
      <w:r/>
      <w:r>
        <w:rPr>
          <w:rFonts w:ascii="Times New Roman" w:hAnsi="Times New Roman" w:cs="Times New Roman"/>
          <w:color w:val="ffffff" w:themeColor="background1"/>
          <w:sz w:val="32"/>
          <w:szCs w:val="32"/>
        </w:rPr>
      </w:r>
      <w:r/>
      <w:r/>
      <w:r>
        <w:rPr>
          <w:rFonts w:ascii="TimesNewRomanCYR" w:hAnsi="TimesNewRomanCYR" w:eastAsia="TimesNewRomanCYR" w:cs="TimesNewRomanCYR"/>
          <w:sz w:val="24"/>
        </w:rPr>
      </w:r>
    </w:p>
    <w:p>
      <w:pPr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_____________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</w:t>
      </w:r>
      <w:r/>
      <w:r>
        <w:rPr>
          <w:rFonts w:ascii="Times New Roman" w:hAnsi="Times New Roman" w:cs="Times New Roman"/>
          <w:color w:val="ffffff" w:themeColor="background1"/>
          <w:sz w:val="32"/>
          <w:szCs w:val="32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услуг, предоставляемых  согласно гарантированному перечню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умерших пенсионеров, не подлежавших обязательному социальному страхованию на случай временной нетрудоспособности и в связи с материнством на день см</w:t>
      </w:r>
      <w:r>
        <w:rPr>
          <w:rFonts w:ascii="Times New Roman" w:hAnsi="Times New Roman" w:cs="Times New Roman"/>
          <w:sz w:val="28"/>
          <w:szCs w:val="28"/>
        </w:rPr>
        <w:t xml:space="preserve">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</w:t>
      </w:r>
      <w:r>
        <w:rPr>
          <w:rFonts w:ascii="Times New Roman" w:hAnsi="Times New Roman" w:cs="Times New Roman"/>
          <w:sz w:val="28"/>
          <w:szCs w:val="28"/>
        </w:rPr>
        <w:t xml:space="preserve"> случай временной нетрудоспособности и в связи с материнством на день смерти указанных членов семей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</w:t>
      </w:r>
      <w:r>
        <w:rPr>
          <w:rFonts w:ascii="Times New Roman" w:hAnsi="Times New Roman" w:cs="Times New Roman"/>
          <w:sz w:val="28"/>
          <w:szCs w:val="28"/>
        </w:rPr>
        <w:t xml:space="preserve">ц</w:t>
      </w:r>
      <w:r>
        <w:rPr>
          <w:rFonts w:ascii="Times New Roman" w:hAnsi="Times New Roman" w:cs="Times New Roman"/>
          <w:sz w:val="28"/>
          <w:szCs w:val="28"/>
        </w:rPr>
        <w:t xml:space="preserve">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</w:t>
      </w:r>
      <w:r/>
    </w:p>
    <w:p>
      <w:pPr>
        <w:ind w:firstLine="567"/>
        <w:jc w:val="both"/>
        <w:keepLines/>
        <w:keepNext/>
        <w:spacing w:before="480" w:after="0"/>
        <w:rPr>
          <w:rFonts w:ascii="Times New Roman" w:hAnsi="Times New Roman" w:cs="Times New Roman" w:eastAsiaTheme="majorEastAsia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06.10.2003 №131-ФЗ «Об общих принципах организации местного самоуправления в РФ»,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Федеральным законом от  12.01.1996 г. № 8-ФЗ «О погребении и похоронном деле», Законом Московской области от 17.07.2007 № 115-2007 – ОЗ «О погребении и похоронном деле в Московской области», р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уководствуясь Уставом муниципального</w:t>
      </w:r>
      <w:r>
        <w:rPr>
          <w:rFonts w:ascii="Times New Roman" w:hAnsi="Times New Roman" w:cs="Times New Roman" w:eastAsiaTheme="majorEastAsia"/>
          <w:bCs/>
          <w:sz w:val="28"/>
          <w:szCs w:val="28"/>
        </w:rPr>
        <w:t xml:space="preserve"> округа Серебряные Пруды Московской области,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 xml:space="preserve"> </w:t>
      </w:r>
      <w:r/>
    </w:p>
    <w:p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решил:</w:t>
      </w:r>
      <w:r/>
    </w:p>
    <w:p>
      <w:pPr>
        <w:numPr>
          <w:ilvl w:val="0"/>
          <w:numId w:val="1"/>
        </w:numPr>
        <w:ind w:left="0" w:firstLine="360"/>
        <w:jc w:val="both"/>
        <w:spacing w:after="0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стоимость услуг, предоставляемых согласно гарантированно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 перечню услуг по погребению умерших пенсионеров, не подлежавших обязательному социальному страхованию на случай временной 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нетрудоспособности и в 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на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ень смерти, а также умерших несовершеннолетних членов семей граждан, подлежавших обязательному  социальному страхованию на случай временной нетрудоспособности и в связи с материнством на день смерти указанных членов семей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 Серебряные Пруды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Московской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 (прилагается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360"/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городского округа Серебряные Пруды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Московско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области от 07.02.2024 года № 165/24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 утверждении стоимости 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емых согласно гарантированному перечню услуг по погребению на безвозмездной основе умерших (супругу,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городского округа Серебряные Пруды Московской области».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в официа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льно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м сетевом издании «Городской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 округ Серебряные Пруды» доменное имя сайта в информационной коммуникационной сети Интернет: </w:t>
      </w:r>
      <w:r>
        <w:rPr>
          <w:rFonts w:ascii="Times New Roman" w:hAnsi="Times New Roman" w:eastAsia="Calibri" w:cs="Times New Roman"/>
          <w:sz w:val="28"/>
          <w:szCs w:val="28"/>
          <w:lang w:val="en-US" w:eastAsia="zh-CN"/>
        </w:rPr>
        <w:t xml:space="preserve">http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://</w:t>
      </w:r>
      <w:r>
        <w:rPr>
          <w:rFonts w:ascii="Times New Roman" w:hAnsi="Times New Roman" w:eastAsia="Calibri" w:cs="Times New Roman"/>
          <w:sz w:val="28"/>
          <w:szCs w:val="28"/>
          <w:lang w:val="en-US" w:eastAsia="zh-CN"/>
        </w:rPr>
        <w:t xml:space="preserve">spadm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zh-CN"/>
        </w:rPr>
        <w:t xml:space="preserve">.</w:t>
      </w:r>
      <w:r/>
    </w:p>
    <w:p>
      <w:pPr>
        <w:pStyle w:val="607"/>
        <w:jc w:val="both"/>
        <w:tabs>
          <w:tab w:val="left" w:pos="284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Действие настоящего решения распространяется на правоо</w:t>
      </w:r>
      <w:r>
        <w:rPr>
          <w:sz w:val="28"/>
          <w:szCs w:val="28"/>
        </w:rPr>
        <w:t xml:space="preserve">тношения, возникшие с 01.02.2025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  <w:r/>
    </w:p>
    <w:p>
      <w:pPr>
        <w:pStyle w:val="60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возложить на главу  муниципального</w:t>
      </w:r>
      <w:r>
        <w:rPr>
          <w:sz w:val="28"/>
          <w:szCs w:val="28"/>
        </w:rPr>
        <w:t xml:space="preserve"> округа Павлихина О.В.</w:t>
      </w:r>
      <w:r/>
    </w:p>
    <w:p>
      <w:pPr>
        <w:pStyle w:val="607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/>
        <w:tabs>
          <w:tab w:val="left" w:pos="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709"/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Совета депутатов</w:t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bookmarkStart w:id="0" w:name="_GoBack"/>
      <w:r/>
      <w:bookmarkEnd w:id="0"/>
      <w:r/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Серебряные Пруды</w:t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Московской области                                                                  В.В.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Растегаев</w:t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Серебряные Пруды </w:t>
      </w:r>
      <w:r/>
    </w:p>
    <w:p>
      <w:pPr>
        <w:jc w:val="both"/>
        <w:spacing w:after="0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Московской области                                                                   О.В. Павлихин </w:t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Приложение </w:t>
      </w:r>
      <w:r>
        <w:rPr>
          <w:sz w:val="28"/>
          <w:szCs w:val="28"/>
        </w:rPr>
      </w:r>
    </w:p>
    <w:p>
      <w:pPr>
        <w:contextualSpacing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Совета депутатов</w:t>
      </w:r>
      <w:r>
        <w:rPr>
          <w:sz w:val="28"/>
          <w:szCs w:val="28"/>
        </w:rPr>
      </w:r>
    </w:p>
    <w:p>
      <w:pPr>
        <w:contextualSpacing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contextualSpacing/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Серебряные Пруды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05.02.2025</w:t>
      </w:r>
      <w:r>
        <w:rPr>
          <w:rFonts w:ascii="Times New Roman" w:hAnsi="Times New Roman" w:cs="Times New Roman"/>
          <w:sz w:val="28"/>
          <w:szCs w:val="28"/>
        </w:rPr>
        <w:t xml:space="preserve"> г. № 285/41</w:t>
      </w:r>
      <w:r>
        <w:rPr>
          <w:sz w:val="28"/>
          <w:szCs w:val="28"/>
        </w:rPr>
      </w:r>
    </w:p>
    <w:p>
      <w:pPr>
        <w:contextualSpacing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</w:t>
      </w:r>
      <w:r/>
    </w:p>
    <w:p>
      <w:pPr>
        <w:contextualSpacing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едоставляемых согласно гарантированному перечню услуг по погребению на безвозмездной основе умерших (супругу,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</w:t>
      </w:r>
      <w:r>
        <w:rPr>
          <w:rFonts w:ascii="Times New Roman" w:hAnsi="Times New Roman" w:cs="Times New Roman"/>
          <w:sz w:val="28"/>
          <w:szCs w:val="28"/>
        </w:rPr>
        <w:t xml:space="preserve">ершего)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  <w:r/>
    </w:p>
    <w:tbl>
      <w:tblPr>
        <w:tblStyle w:val="604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945"/>
        <w:gridCol w:w="2235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 и требование к их качеству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(тариф),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документов, необходимых для погребения</w:t>
            </w:r>
            <w:r/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документов: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медицинское свидетельство о смерти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свидетельство о смерти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смерти, выданные в органах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ЗАГСа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и доставка в один адрес гроба и других предметов, необходимых для погребения, включая погрузочные работы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гроба и других предметов, необходимых для погребения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гроб деревянный необитый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покрывало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162,31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подушка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150,00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тапочки похоронные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140,00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Доставка гроба и других предметов, необходимых для погребения к дому (моргу), включая погрузочно-разгрузочные работы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1088,74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вынос гроба и других принадлежностей до транспорта</w:t>
            </w:r>
            <w:r/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погрузочно-разгрузочные работы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доставка по адресу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Перевозка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3992,33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Услуги автокатафалка:</w:t>
            </w:r>
            <w:r/>
          </w:p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перевозка гроба с телом умершего из дома (морга) до места погребения (кремации)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2920,52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Перемещение гроба с телом умершего до места захоронения (кремации):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погрузочно-разгрузочные работы</w:t>
            </w:r>
            <w:r/>
          </w:p>
        </w:tc>
        <w:tc>
          <w:tcPr>
            <w:tcW w:w="223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перемещение гроба с телом умершего до места захоронения (кремации)</w:t>
            </w:r>
            <w:r/>
          </w:p>
        </w:tc>
        <w:tc>
          <w:tcPr>
            <w:tcW w:w="223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Погребение (кремация с последующей выдачей урны с прахом и ее захоронением)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1930,47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Копка могилы для погребения  и оказания комплекса услуг по погребению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1930,47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-расчистка и разметка места для рытья могилы</w:t>
            </w:r>
            <w:r/>
          </w:p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рытье могилы (2,3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1,5)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1654,53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забивка крышки гроба и опускание в могилу</w:t>
            </w:r>
            <w:r/>
          </w:p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засыпка могилы  устройство надмогильного холма</w:t>
            </w:r>
            <w:r/>
          </w:p>
          <w:p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установка ритуального  регистрационного знака 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275,94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и установка похоронного ритуального регистрационного знака с надпись (ФИО, дата рождения и смерти)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бесплатно</w:t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услуг</w:t>
            </w:r>
            <w:r/>
          </w:p>
        </w:tc>
        <w:tc>
          <w:tcPr>
            <w:tcW w:w="22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9 165,37</w:t>
            </w:r>
            <w:r/>
          </w:p>
        </w:tc>
      </w:tr>
    </w:tbl>
    <w:p>
      <w:pPr>
        <w:contextualSpacing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539" w:right="707" w:bottom="719" w:left="1701" w:header="708" w:footer="708" w:gutter="0"/>
      <w:pgNumType w:start="2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CYR">
    <w:panose1 w:val="02020603050405020304"/>
  </w:font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5">
    <w:name w:val="Balloon Text"/>
    <w:basedOn w:val="600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cs="Tahoma"/>
      <w:sz w:val="16"/>
      <w:szCs w:val="16"/>
    </w:rPr>
  </w:style>
  <w:style w:type="paragraph" w:styleId="60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4FD1-F808-4A00-B41A-8344222C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revision>11</cp:revision>
  <dcterms:created xsi:type="dcterms:W3CDTF">2024-12-18T09:25:00Z</dcterms:created>
  <dcterms:modified xsi:type="dcterms:W3CDTF">2025-02-10T08:46:55Z</dcterms:modified>
</cp:coreProperties>
</file>