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подачи документов, представляемых контролируемыми лицами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Перечня документов, направляемых контролируемым лицам в электронном виде 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Серебряные Пруды Московской области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статьи 21 Федерального закона 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с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решением Совета депутатов муниципального округа Серебряные Пруды Московской области от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17.01.2025 № 271/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«Об утверждении Положения о муниципальном земельном контроле на территории муниципального округа Серебряные Пруды Московской области»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Уставом муниципального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numPr>
          <w:ilvl w:val="0"/>
          <w:numId w:val="1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Утвердить прилагаемые: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подачи документов, представляемых контролируемыми лицами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направляемых контролируемым лицам в электронном виде 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1"/>
        <w:numPr>
          <w:ilvl w:val="0"/>
          <w:numId w:val="1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утратившим силу постановление администрации городского округа Серебряные Пруды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16.01.2023 № 16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подачи документов, представляемых 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, а также Перечня документов, направляемых контролируемым лицам в электронном виде 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Серебряные Пруды Московской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1"/>
        <w:numPr>
          <w:ilvl w:val="0"/>
          <w:numId w:val="1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Опубликовать настоящее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постановление в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сетевом издании «Городской округ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Сере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бряные Пруды», доменное имя сайта в информационно-телекоммуникационной сети «Интернет»: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val="en-US"/>
        </w:rPr>
      </w:r>
      <w:hyperlink r:id="rId9" w:tooltip="https://www.spadm.ru/" w:history="1">
        <w:r>
          <w:rPr>
            <w:rStyle w:val="809"/>
            <w:rFonts w:ascii="Times New Roman" w:hAnsi="Times New Roman" w:eastAsia="Times New Roman" w:cs="Times New Roman"/>
            <w:sz w:val="28"/>
            <w:szCs w:val="24"/>
            <w:highlight w:val="none"/>
            <w:lang w:val="en-US"/>
          </w:rPr>
          <w:t xml:space="preserve">https://www.spadm.ru/</w:t>
        </w:r>
        <w:r>
          <w:rPr>
            <w:rStyle w:val="809"/>
            <w:rFonts w:ascii="Times New Roman" w:hAnsi="Times New Roman" w:eastAsia="Times New Roman" w:cs="Times New Roman"/>
            <w:sz w:val="28"/>
            <w:szCs w:val="24"/>
            <w:highlight w:val="none"/>
            <w:lang w:val="en-US"/>
          </w:rPr>
        </w:r>
        <w:r>
          <w:rPr>
            <w:rStyle w:val="809"/>
            <w:rFonts w:ascii="Times New Roman" w:hAnsi="Times New Roman" w:eastAsia="Times New Roman" w:cs="Times New Roman"/>
            <w:sz w:val="28"/>
            <w:szCs w:val="24"/>
            <w:highlight w:val="none"/>
            <w:lang w:eastAsia="ru-RU"/>
          </w:rPr>
        </w:r>
      </w:hyperlink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numPr>
          <w:ilvl w:val="0"/>
          <w:numId w:val="1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1"/>
        <w:numPr>
          <w:ilvl w:val="0"/>
          <w:numId w:val="1"/>
        </w:numPr>
        <w:ind w:left="0" w:right="-143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оставляю за собой.</w:t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 xml:space="preserve">О.В. Павлихин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6237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6237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left="6237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округа Серебряные Пруды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Московской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left="6237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 документов, представляемых контролируемыми лицами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электронном виде в рамках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земельного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Серебряные Пруды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Московской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Настоящий Порядок устанавливает правила подачи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 муниципального земель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 контроля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Серебряные Пруды Московской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 МЗК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собственниками (пользователями)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земельных участков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контролируем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документов в электронном виде в рамках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земельного контроля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МЗК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в соответствии с требованиями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от 31.07.2020 № 248-ФЗ «О государств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енном контроле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(надзоре) и муниципальном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нтроле в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Федеральный закон № 248-ФЗ), а также определяет формы данных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Документы,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предусмотренные настоящим Порядком,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представляемые контролируемыми лицами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 МЗК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рамках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земельного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электронном виде,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подаются посредством государственной информационной системы Московской области «Портал государственных и муниципальных услуг (функций) Московской области» (далее – РПГУ), расположенной в информационно-телекоммуникационной сети Интернет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адресу: </w:t>
      </w:r>
      <w:hyperlink r:id="rId10" w:tooltip="&lt;div class=&quot;doc www&quot;&gt;&lt;span class=&quot;aligner&quot;&gt;&lt;div class=&quot;icon listDocWWW-16&quot;&gt;&lt;/div&gt;&lt;/span&gt;www.uslugi.mosreg.ru&lt;/div&gt;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www.uslugi.mosreg.ru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соответствии с формами, предусмотренными настоящим Порядком.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рассмотрения документов, представляемых контролируемыми лицами в соответствии с настоящим Порядком,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контролируемым лицам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органом МЗК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документы в электронном виде посредством РПГУ.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учетом части 6 статьи 21 Федерального закона № 248-ФЗ документы направляются в контрольный (надзорный) орган в электронном виде посредством РПГУ.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Контролируемое лицо (его представитель) вправе обратиться в любой Многофункциональный центр предоставления государственных и муниципальных услуг Московской области (далее - МФЦ) в цел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ях получения доступа к РПГУ для подачи документов в электронном виде, выдачи результатов предоставления государственной функции в виде распечатанного на бумажном носителе экземпляра электронного документа, подписанного усиленной квалифицированной подписью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- ЭП) уполномоченного должностного лица контрольного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(надзорного)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 и заверенного печатью МФЦ, а также для получения консультирования по вопросу подачи документов в электронной форме посредством РПГУ.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 Гражданин, не осуществляющий предпринимательской деятельности, являющийся контролируемым лицом, информируется о совершаемых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(надзорного)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уведомления о необходимости получения документов на бумажном носителе либо отсутствия у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</w:t>
      </w:r>
      <w:r>
        <w:rPr>
          <w:rFonts w:ascii="Times New Roman" w:hAnsi="Times New Roman" w:cs="Times New Roman"/>
          <w:sz w:val="28"/>
          <w:szCs w:val="28"/>
        </w:rPr>
        <w:t xml:space="preserve">контрольному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(надзорному)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органу документы на бумажном носителе.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Основаниями для отказа в приеме и регистрации документов, определенных настоящим Порядком,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представление некачественных копий (электронных образов) документов,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позволяющих в полном объеме прочитать текст документа и (или) распознать реквизиты документа;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некорректное заполнение обязательных полей при использовании специальной интерактивной формы на РПГУ (отсутствие заполнения, недостоверное, неполное либо неправильное, не соответствующее требованиям, установленным в РПГУ);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не представлен документ, удостоверяющий полномочия представителя контролируемого лица;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документ, подтверждающий полномочия представителя контролируемого лица, утратил силу.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ind w:left="100"/>
        <w:jc w:val="both"/>
        <w:spacing w:after="0" w:line="240" w:lineRule="auto"/>
      </w:pP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При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статьи 95 Федерального закона № 248-ФЗ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сведений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которых установлено решением (предписанием об устранении выявленных нарушений обязательных требований) до истечения срока, указанного в решении (предписании об устранении выявленных нарушений обязательных требований)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, контролируемое лицо направляет в 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орган МЗК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извещение об устранении выявленных нарушений обязательных требований с приложением необходимых документов.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</w:r>
      <w:r/>
    </w:p>
    <w:p>
      <w:pPr>
        <w:pStyle w:val="831"/>
        <w:ind w:left="10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исполнении решения (предписания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10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об исполнении решения (предписания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с момента его поступления: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10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при представлении контролируемым лицом до истечения срока, указанного в решении (предписании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), документов и сведений, представление которых установлено указанным решением (предписанием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с информацией об исполнении решения (предписания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10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2)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документы и сведения, представление которых установлено указанным решением (предписанием об устранении выявленных нарушений), контролируемым лицом до истечения срока, указанного в решении (предписании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нарушений), представлены, но на их основании невозможно сделать вывод об исполнении решения (предписания об устранении выявленных нарушений),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(</w:t>
      </w:r>
      <w:r>
        <w:rPr>
          <w:rFonts w:ascii="Times New Roman" w:hAnsi="Times New Roman" w:cs="Times New Roman"/>
          <w:sz w:val="28"/>
          <w:szCs w:val="28"/>
        </w:rPr>
        <w:t xml:space="preserve">надзорного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, о невозможности сделать вывод об исполнения решения (предп</w:t>
      </w:r>
      <w:r>
        <w:rPr>
          <w:rFonts w:ascii="Times New Roman" w:hAnsi="Times New Roman" w:cs="Times New Roman"/>
          <w:sz w:val="28"/>
          <w:szCs w:val="28"/>
        </w:rPr>
        <w:t xml:space="preserve">исания об устранении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>
        <w:rPr>
          <w:rFonts w:ascii="Times New Roman" w:hAnsi="Times New Roman" w:cs="Times New Roman"/>
          <w:sz w:val="28"/>
          <w:szCs w:val="28"/>
        </w:rPr>
        <w:t xml:space="preserve">нарушений</w:t>
      </w:r>
      <w:r>
        <w:rPr>
          <w:rFonts w:ascii="Times New Roman" w:hAnsi="Times New Roman" w:cs="Times New Roman"/>
          <w:sz w:val="28"/>
          <w:szCs w:val="28"/>
        </w:rPr>
        <w:t xml:space="preserve">) и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МЗК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установленного ранее срока.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67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со статьей 93 Федерального закона № 248-ФЗ при наличии обстоятельств, вследствие которых исполнение решения невозможно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сроки, контролируемое лицо не позднее 1 дня до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решении (предписании об устранении выявленн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 xml:space="preserve">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 срока устранения нарушения вправе направить ходатайство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решения, в соответствии с рекомендуемой формой, предусмотренной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67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 ходатайству об отсрочке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решения (предписания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 xml:space="preserve">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 прилагаются документы, подтверждающие принятые контролируемым лицом меры</w:t>
      </w:r>
      <w:r>
        <w:rPr>
          <w:rFonts w:ascii="Times New Roman" w:hAnsi="Times New Roman" w:cs="Times New Roman"/>
          <w:sz w:val="28"/>
          <w:szCs w:val="28"/>
        </w:rPr>
        <w:t xml:space="preserve"> (по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устранения нарушения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(предписанием об устранении выявленных нарушений обязательных требований)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67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 (предписания об устранении выявленн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нарушени</w:t>
      </w:r>
      <w:r>
        <w:rPr>
          <w:rFonts w:ascii="Times New Roman" w:hAnsi="Times New Roman" w:cs="Times New Roman"/>
          <w:sz w:val="28"/>
          <w:szCs w:val="28"/>
        </w:rPr>
        <w:t xml:space="preserve">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должностным лицом, вынесшим решение.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течение 4 календарных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поступления ходатайства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 (предписания об устранении выявленн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 xml:space="preserve">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органом МЗК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его рассмотрения посредством направления уведомления, подписанного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 (предписания об устранении выявленн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 xml:space="preserve">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его поступления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 и направляется контролируемому лицу.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 xml:space="preserve">разъяснений по вопросам, связанным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МЗК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50 Федерального закона № 248</w:t>
      </w:r>
      <w:r>
        <w:rPr>
          <w:rFonts w:ascii="Times New Roman" w:hAnsi="Times New Roman" w:cs="Times New Roman"/>
          <w:sz w:val="28"/>
          <w:szCs w:val="28"/>
        </w:rPr>
        <w:t xml:space="preserve">-ФЗ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МЗК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), контролируемое лицо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консульти</w:t>
      </w:r>
      <w:r>
        <w:rPr>
          <w:rFonts w:ascii="Times New Roman" w:hAnsi="Times New Roman" w:cs="Times New Roman"/>
          <w:sz w:val="28"/>
          <w:szCs w:val="28"/>
        </w:rPr>
        <w:t xml:space="preserve">рования по рекомендуемой форме, 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консультирования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В случае, предусмотренном частью 5 статьи 80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248-ФЗ, в целях подачи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контрольный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 уведомления о том,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истребуемые документы (копии документов) были представлены контролируемым лицом ранее, с указанием реквизитов документа, которым (приложением к которому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они были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, контролируемое лицо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 письмо по рекоме</w:t>
      </w:r>
      <w:r>
        <w:rPr>
          <w:rFonts w:ascii="Times New Roman" w:hAnsi="Times New Roman" w:cs="Times New Roman"/>
          <w:sz w:val="28"/>
          <w:szCs w:val="28"/>
        </w:rPr>
        <w:t xml:space="preserve">ндуемой форме,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содержащее соответствующее уведомления.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5 рабочих дней с момента поступления информационного письма,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пунктом 1 части 5 статьи 84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248-ФЗ при назначении и осуществлении экспертизы контролируемые лица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о наличии конфликта интересов у эксперта, экспертной организации вправе направить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 письмо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5 рабочих дней с момента поступления информационного письма,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(</w:t>
      </w:r>
      <w:r>
        <w:rPr>
          <w:rFonts w:ascii="Times New Roman" w:hAnsi="Times New Roman" w:cs="Times New Roman"/>
          <w:sz w:val="28"/>
          <w:szCs w:val="28"/>
        </w:rPr>
        <w:t xml:space="preserve">надзорный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 направляет контролируемому лицу информационное письмо о результатах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67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пунктом 2 части 5 статьи 84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248-ФЗ при назначении и осуществлении экспертизы контролируемые лица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предложения   дополнительных вопросов для получения по ним заключения эксперта, экспертной организации, а также уточнения формулировки поставленных вопросов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 письмо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4 к настоящему Порядку.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67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5 рабочих дней с момента поступления информационного письма, указанного в пункте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случае необходимости представления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иных сведений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МЗК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оном № 248-ФЗ, для представления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 типовая форма не утверждена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контролируемое лицо вправе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направить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 МЗК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информационное письмо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рекомендуемой формой,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5 рабочих дней с момента поступления информационного письма, указанного в пункте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случае необходимости исправления технической ошибки в решении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контролируемое лицо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 письмо по рекомендуемой </w:t>
      </w:r>
      <w:r>
        <w:rPr>
          <w:rFonts w:ascii="Times New Roman" w:hAnsi="Times New Roman" w:cs="Times New Roman"/>
          <w:sz w:val="28"/>
          <w:szCs w:val="28"/>
        </w:rPr>
        <w:t xml:space="preserve">форме,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5 рабочих дней с момента поступления информационног</w:t>
      </w:r>
      <w:r>
        <w:rPr>
          <w:rFonts w:ascii="Times New Roman" w:hAnsi="Times New Roman" w:cs="Times New Roman"/>
          <w:sz w:val="28"/>
          <w:szCs w:val="28"/>
        </w:rPr>
        <w:t xml:space="preserve">о письма,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67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Возражение на предостережение о недопустимости нарушения обязательных требований направляется контролируемым лицом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Положени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Возражение на предостережение о недопустимости нарушения обязательных требований контролируемым лицом оформляется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рекомендуемой формой,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возражения на предостережение о недопустимости нарушения обязательных требований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Положени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возражения </w:t>
      </w:r>
      <w:r>
        <w:rPr>
          <w:rFonts w:ascii="Times New Roman" w:hAnsi="Times New Roman" w:cs="Times New Roman"/>
          <w:sz w:val="28"/>
          <w:szCs w:val="28"/>
        </w:rPr>
        <w:t xml:space="preserve">на предостережение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принимает </w:t>
      </w:r>
      <w:r>
        <w:rPr>
          <w:rFonts w:ascii="Times New Roman" w:hAnsi="Times New Roman" w:cs="Times New Roman"/>
          <w:sz w:val="28"/>
          <w:szCs w:val="28"/>
        </w:rPr>
        <w:t xml:space="preserve">решение об удовлетворении либо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возражения</w:t>
      </w:r>
      <w:r>
        <w:rPr>
          <w:rFonts w:ascii="Times New Roman" w:hAnsi="Times New Roman" w:cs="Times New Roman"/>
          <w:sz w:val="28"/>
          <w:szCs w:val="28"/>
        </w:rPr>
        <w:t xml:space="preserve"> на предостережение </w:t>
      </w:r>
      <w:r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 форме отме</w:t>
      </w:r>
      <w:r>
        <w:rPr>
          <w:rFonts w:ascii="Times New Roman" w:hAnsi="Times New Roman" w:cs="Times New Roman"/>
          <w:sz w:val="28"/>
          <w:szCs w:val="28"/>
        </w:rPr>
        <w:t xml:space="preserve">ны объявленного предостережения.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Мотивированный ответ о результатах рассмотрения возражения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предостережение о недопустимости нарушения обязательных требований надзорный орган направляет контролируемому лицу в срок, не превышающий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момента поступления такого возражения.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случае необходимости разъяснения способа и порядка исполнения решения </w:t>
      </w:r>
      <w:r>
        <w:rPr>
          <w:rFonts w:ascii="Times New Roman" w:hAnsi="Times New Roman" w:cs="Times New Roman"/>
          <w:sz w:val="28"/>
          <w:szCs w:val="28"/>
        </w:rPr>
        <w:t xml:space="preserve">органа МЗК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орган МЗК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ходатайством о разъяснении способа и порядка его исполнения в соответствии с рекомендуемой формой,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Ходатайство о разъяснении способа и порядка исполнения решения рассматривается должностным лицом, вынесшим решение.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разъяснении способа и порядка исполнения решения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органом МЗК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его рассмотрения посредством направления уведомления, подписанного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разъяснении способа и порядка исполнения решения в течение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его поступления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 и направляется контролируемому лицу.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целях направления контролируемым лицом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 МЗК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истребуемых документов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соответствии с требованием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органа МЗК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представлении необходимых и (или) имеющих значение для проведения оценки соблюдения конт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информации, контролируемое лицо в установленный требованием срок направляет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сопроводительное письмо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направлении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рекомендуемой формой,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</w:t>
      </w:r>
      <w:r>
        <w:rPr>
          <w:rFonts w:ascii="Times New Roman" w:hAnsi="Times New Roman" w:cs="Times New Roman"/>
          <w:sz w:val="28"/>
          <w:szCs w:val="28"/>
        </w:rPr>
        <w:t xml:space="preserve">я письма,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получении запрашиваемых документов, подписанное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исполнении предостережения о недопустимости нарушений обязательных требований в соответствии с рекомендуемой формой, предусмотренной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уве</w:t>
      </w:r>
      <w:r>
        <w:rPr>
          <w:rFonts w:ascii="Times New Roman" w:hAnsi="Times New Roman" w:cs="Times New Roman"/>
          <w:sz w:val="28"/>
          <w:szCs w:val="28"/>
        </w:rPr>
        <w:t xml:space="preserve">домления,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получении уведомления,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об ознакомлении с результатами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МЗК</w:t>
      </w:r>
      <w:r>
        <w:rPr>
          <w:rFonts w:ascii="Times New Roman" w:hAnsi="Times New Roman" w:cs="Times New Roman"/>
          <w:sz w:val="28"/>
          <w:szCs w:val="28"/>
        </w:rPr>
        <w:t xml:space="preserve"> и действий, относящихся к предмету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МЗК</w:t>
      </w:r>
      <w:r>
        <w:rPr>
          <w:rFonts w:ascii="Times New Roman" w:hAnsi="Times New Roman" w:cs="Times New Roman"/>
          <w:sz w:val="28"/>
          <w:szCs w:val="28"/>
        </w:rPr>
        <w:t xml:space="preserve">,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ходатайст</w:t>
      </w:r>
      <w:r>
        <w:rPr>
          <w:rFonts w:ascii="Times New Roman" w:hAnsi="Times New Roman" w:cs="Times New Roman"/>
          <w:sz w:val="28"/>
          <w:szCs w:val="28"/>
        </w:rPr>
        <w:t xml:space="preserve">ва,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 </w:t>
      </w:r>
      <w:r>
        <w:rPr>
          <w:rFonts w:ascii="Times New Roman" w:hAnsi="Times New Roman" w:cs="Times New Roman"/>
          <w:sz w:val="28"/>
          <w:szCs w:val="28"/>
        </w:rPr>
        <w:t xml:space="preserve">направляет контролируемому лицу уведомление о результатах его рассмотрения, подписанное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67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пунктом 4 статьи 36 Федерального закона № 248-ФЗ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представления согласия либо несогласия с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МЗК, а также действий органа МЗК,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 информационное письмо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4 к настоящему Порядку.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676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5 рабочих дней с момента поступления информационного письма,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 </w:t>
      </w:r>
      <w:r>
        <w:rPr>
          <w:rFonts w:ascii="Times New Roman" w:hAnsi="Times New Roman" w:cs="Times New Roman"/>
          <w:sz w:val="28"/>
          <w:szCs w:val="28"/>
        </w:rPr>
        <w:t xml:space="preserve">направляет контролируемому лицу информационное письмо о резуль</w:t>
      </w:r>
      <w:r>
        <w:rPr>
          <w:rFonts w:ascii="Times New Roman" w:hAnsi="Times New Roman" w:cs="Times New Roman"/>
          <w:sz w:val="28"/>
          <w:szCs w:val="28"/>
        </w:rPr>
        <w:t xml:space="preserve">татах </w:t>
      </w:r>
      <w:r>
        <w:rPr>
          <w:rFonts w:ascii="Times New Roman" w:hAnsi="Times New Roman" w:cs="Times New Roman"/>
          <w:sz w:val="28"/>
          <w:szCs w:val="28"/>
        </w:rPr>
        <w:t xml:space="preserve">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пояснения (дополнительные сведения) по вопросам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МЗК</w:t>
      </w:r>
      <w:r>
        <w:rPr>
          <w:rFonts w:ascii="Times New Roman" w:hAnsi="Times New Roman" w:cs="Times New Roman"/>
          <w:sz w:val="28"/>
          <w:szCs w:val="28"/>
        </w:rPr>
        <w:t xml:space="preserve"> (за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мероприятий, при проведении которых не осуществляется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с контролируемым лицом) по рекомендуемой форме,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пояснений по вопросам проведения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МЗК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(дополнительных сведений от лица)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о получении пояснений,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в ходе документарной проверки выявлены ошибки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МЗК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контролируемое лицо в течение 10 рабочих дней с момента получения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пояснений относительно выявленных в рамках документарной проверки ошибок, противоречий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несоответствии сведений, содержащихся в этих документах, сведениям, содержащимся в имеющихся у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направляет письменные пояснения по рекомендуемой форме, предусмотренной приложением 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пояснений контролируемого лица относительно выявленных ошибок и (или) противоречий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представленных документах либо относительно несоответствия сведений, содержащихся в этих документах, сведениям, содержащимся в имеющихся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МЗК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контрольный</w:t>
      </w:r>
      <w:r>
        <w:rPr>
          <w:rFonts w:ascii="Times New Roman" w:hAnsi="Times New Roman" w:cs="Times New Roman"/>
          <w:sz w:val="28"/>
          <w:szCs w:val="28"/>
        </w:rPr>
        <w:t xml:space="preserve"> орган направляет контролируемому лицу письмо о получении пояснений,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контролируемое лицо не имеет возможности представить истребуемые документы в течение срока, установленного в требовании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документов, контролируемое лицо незамедлительно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продлении срока предоставления истребуемых документов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содержащее уведомле</w:t>
      </w:r>
      <w:r>
        <w:rPr>
          <w:rFonts w:ascii="Times New Roman" w:hAnsi="Times New Roman" w:cs="Times New Roman"/>
          <w:sz w:val="28"/>
          <w:szCs w:val="28"/>
        </w:rPr>
        <w:t xml:space="preserve">ние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24 часов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 xml:space="preserve">атайства, указанного в пункте 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продлевает срок представления документов или отказывает в продлении срока, о чем составляется соответствующее решение и направляется контролируемому лицу.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частью 9 статьи 65 Федерального закона № 248-ФЗ контролируемое лицо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требование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экспертах, экспертных организациях и иных лицах, привлекаемых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МЗК</w:t>
      </w:r>
      <w:r>
        <w:rPr>
          <w:rFonts w:ascii="Times New Roman" w:hAnsi="Times New Roman" w:cs="Times New Roman"/>
          <w:sz w:val="28"/>
          <w:szCs w:val="28"/>
        </w:rPr>
        <w:t xml:space="preserve">, в целях подтверждения полномочий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пункте 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о результатах его рассмотре</w:t>
      </w:r>
      <w:r>
        <w:rPr>
          <w:rFonts w:ascii="Times New Roman" w:hAnsi="Times New Roman" w:cs="Times New Roman"/>
          <w:sz w:val="28"/>
          <w:szCs w:val="28"/>
        </w:rPr>
        <w:t xml:space="preserve">ния, подписанное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пунктом 3 части 5 статьи 84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248-ФЗ контролируемое лицо вправе направить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МЗК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о возможности присутствия при проведении экспертизы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хо</w:t>
      </w:r>
      <w:r>
        <w:rPr>
          <w:rFonts w:ascii="Times New Roman" w:hAnsi="Times New Roman" w:cs="Times New Roman"/>
          <w:sz w:val="28"/>
          <w:szCs w:val="28"/>
        </w:rPr>
        <w:t xml:space="preserve">датайства, указанного в пункте 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о результатах его рассмотре</w:t>
      </w:r>
      <w:r>
        <w:rPr>
          <w:rFonts w:ascii="Times New Roman" w:hAnsi="Times New Roman" w:cs="Times New Roman"/>
          <w:sz w:val="28"/>
          <w:szCs w:val="28"/>
        </w:rPr>
        <w:t xml:space="preserve">ния, подписанное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пунктом 4 части 5 статьи 84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248-ФЗ контролируемое лицо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об ознакомлении с заключением эксперта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675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ход</w:t>
      </w:r>
      <w:r>
        <w:rPr>
          <w:rFonts w:ascii="Times New Roman" w:hAnsi="Times New Roman" w:cs="Times New Roman"/>
          <w:sz w:val="28"/>
          <w:szCs w:val="28"/>
        </w:rPr>
        <w:t xml:space="preserve">атайства, указанного в пункте 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уведомление о результатах 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6 статьи 52 Федерального закона № 248-ФЗ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онтролируемое лицо вправе отказаться от проведения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профилактического визита, направив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рабочих дня до даты его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 отказе от проведения обязательного профилактического визита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2 рабочих дней с момента поступления уве</w:t>
      </w:r>
      <w:r>
        <w:rPr>
          <w:rFonts w:ascii="Times New Roman" w:hAnsi="Times New Roman" w:cs="Times New Roman"/>
          <w:sz w:val="28"/>
          <w:szCs w:val="28"/>
        </w:rPr>
        <w:t xml:space="preserve">домления, ука</w:t>
      </w:r>
      <w:r>
        <w:rPr>
          <w:rFonts w:ascii="Times New Roman" w:hAnsi="Times New Roman" w:cs="Times New Roman"/>
          <w:sz w:val="28"/>
          <w:szCs w:val="28"/>
        </w:rPr>
        <w:t xml:space="preserve">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об отмене обязательного профилактического визита или уведомление о нарушении срока подачи уведомления,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о дате проведения профилактического визита.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со статьей 94 Федерального закона № 248-ФЗ контролируемое лицо вправе направить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приостановлении исполнения решения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Ходатайство о приостановлении исполнения решения рассматривается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МЗК, вынесшим решение.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приостановлении исполнения решения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органом МЗК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ходатайства посредством направления уведомления, подписанным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в течение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его поступления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решение о результатах его рассмотрения и направляется контролируемому лицу.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со статьей 94 Федерального закона № 248-ФЗ контролируемое лицо вправе направить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прекращении исполнения решения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Ходатайство о прекращении исполнения решения рассматривается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, вынесшим решение.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о прекращении исполнения решения контролируемое лицо информируется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МЗК </w:t>
      </w:r>
      <w:r>
        <w:rPr>
          <w:rFonts w:ascii="Times New Roman" w:hAnsi="Times New Roman" w:cs="Times New Roman"/>
          <w:sz w:val="28"/>
          <w:szCs w:val="28"/>
        </w:rPr>
        <w:t xml:space="preserve">о месте и времени рассмотрения ходатайства посредством направления уведомления, подписанным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прекращении исполнения решения в течение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его поступления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 и направляется контролируемому лицу.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частью 3 статьи 45 Федерального закона № 248-ФЗ в целях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органом МЗК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мероприятия по инициативе контролируемого лица оно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заявку на проведение профилактического визита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поступления заявки, указанной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уведомление о планируемом проведении профилактического визита,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со статьей 94 Федерального закона № 248-ФЗ контролируемое лицо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возобновлении ранее приостановленного решения по рекомендуемой форме, предусмотренной приложением 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Ходатайство о возобновлении ранее приостановленного решения рассматривается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, вынесшим решение.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возобновлении ранее приостановленного решения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органом МЗК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ходатайства посредством направления уведомления, подписанного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возобновлении ранее приостановленного решения в течение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его поступления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 и направляется контролируемому лицу.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случаях, установленных Положени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, контролируемое лицо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запрос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в рамках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момента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запроса, указанного 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32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о результатах рассмотрения запроса,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Контролируемое лицо в соответствии с частью 6 статьи 24 Федерального закона № 248-ФЗ вправе подать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заявление об изменении к</w:t>
      </w:r>
      <w:r>
        <w:rPr>
          <w:rFonts w:ascii="Times New Roman" w:hAnsi="Times New Roman" w:cs="Times New Roman"/>
          <w:sz w:val="28"/>
          <w:szCs w:val="28"/>
        </w:rPr>
        <w:t xml:space="preserve">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 В течение 5 рабочих дней с момента поступления з</w:t>
      </w:r>
      <w:r>
        <w:rPr>
          <w:rFonts w:ascii="Times New Roman" w:hAnsi="Times New Roman" w:cs="Times New Roman"/>
          <w:sz w:val="28"/>
          <w:szCs w:val="28"/>
        </w:rPr>
        <w:t xml:space="preserve">аявления,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пункте 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</w:t>
      </w:r>
      <w:r>
        <w:rPr>
          <w:rFonts w:ascii="Times New Roman" w:hAnsi="Times New Roman" w:cs="Times New Roman"/>
          <w:sz w:val="28"/>
          <w:szCs w:val="28"/>
        </w:rPr>
        <w:t xml:space="preserve">письмо о результатах его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пунктом 3 статьи 36 Федерального закона № 248-ФЗ контролируемое лицо в целях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сведениях, которые стали основанием для проведения внепланового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МЗК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случае проведения указанного мероприятия по требованию прокурора 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МЗК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контроля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тайну, вправе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запрос информации о сведениях, которые стали основанием для проведения внепланового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МЗК</w:t>
      </w:r>
      <w:r>
        <w:rPr>
          <w:rFonts w:ascii="Times New Roman" w:hAnsi="Times New Roman" w:cs="Times New Roman"/>
          <w:sz w:val="28"/>
          <w:szCs w:val="28"/>
        </w:rPr>
        <w:t xml:space="preserve"> по рекомендуемой форме,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поступлени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запроса,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письмо о результатах 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случаях, установленных Положением, контролируемое лицо вправе представить ходатайство о переносе сро</w:t>
      </w:r>
      <w:r>
        <w:rPr>
          <w:rFonts w:ascii="Times New Roman" w:hAnsi="Times New Roman" w:cs="Times New Roman"/>
          <w:sz w:val="28"/>
          <w:szCs w:val="28"/>
        </w:rPr>
        <w:t xml:space="preserve">ка проведения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МЗК</w:t>
      </w:r>
      <w:r>
        <w:rPr>
          <w:rFonts w:ascii="Times New Roman" w:hAnsi="Times New Roman" w:cs="Times New Roman"/>
          <w:sz w:val="28"/>
          <w:szCs w:val="28"/>
        </w:rPr>
        <w:t xml:space="preserve"> по рекомендуемой форме, предусмотренной приложением 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содержащее информацию о невозможности присутствия при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МЗК</w:t>
      </w:r>
      <w:r>
        <w:rPr>
          <w:rFonts w:ascii="Times New Roman" w:hAnsi="Times New Roman" w:cs="Times New Roman"/>
          <w:sz w:val="28"/>
          <w:szCs w:val="28"/>
        </w:rPr>
        <w:t xml:space="preserve"> и обстоятельствах, послуживших поводом для данного обращения.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ind w:left="33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позднее 2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ходатайства,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решение о результатах его рассмотрения,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left="3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Контролируемое лицо в соответствии со статьей 51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248-ФЗ вправе подать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заявку на прохождение самообследования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предусмотренной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Порядку, для проведения самостоятельной оценки соблюдения обязательных требований (самообследования) в автоматизированном режиме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 В течение 2 рабочих дней с момента поступления заявки, указанной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</w:t>
      </w:r>
      <w:r>
        <w:rPr>
          <w:rFonts w:ascii="Times New Roman" w:hAnsi="Times New Roman" w:cs="Times New Roman"/>
          <w:sz w:val="28"/>
          <w:szCs w:val="28"/>
        </w:rPr>
        <w:t xml:space="preserve">письмо со ссылкой н</w:t>
      </w:r>
      <w:r>
        <w:rPr>
          <w:rFonts w:ascii="Times New Roman" w:hAnsi="Times New Roman" w:cs="Times New Roman"/>
          <w:sz w:val="28"/>
          <w:szCs w:val="28"/>
        </w:rPr>
        <w:t xml:space="preserve">а прохождение самообследования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или письмо с отказом прохождения самообследования.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 собственной инициативе посредством РПГУ отозвать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 xml:space="preserve">орган МЗК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до фактического получения результата их рассмотрения либо до дня окончания срока их рассмотрения.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этом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органом МЗК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документов прекращается, что не препятствует повторной подаче документов, предусмотренных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отзыва документов в слу</w:t>
      </w:r>
      <w:r>
        <w:rPr>
          <w:rFonts w:ascii="Times New Roman" w:hAnsi="Times New Roman" w:cs="Times New Roman"/>
          <w:sz w:val="28"/>
          <w:szCs w:val="28"/>
        </w:rPr>
        <w:t xml:space="preserve">чаях,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 МЗК </w:t>
      </w:r>
      <w:r>
        <w:rPr>
          <w:rFonts w:ascii="Times New Roman" w:hAnsi="Times New Roman" w:cs="Times New Roman"/>
          <w:sz w:val="28"/>
          <w:szCs w:val="28"/>
        </w:rPr>
        <w:t xml:space="preserve">направляет контролируемому лицу информационное письмо о прекращении рассмотрения представленных документов, подписанное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органа МЗК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left="5670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left="5670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округа Серебряные Пруды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Московской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left="5670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____________ № 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left="5670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left="5670"/>
        <w:spacing w:after="0" w:line="240" w:lineRule="auto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документов, направляемых контролируемым лицам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муниципального земельного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округа Серебряные Пруды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Московской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рамках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положения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муниципальном земельном контроле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округа Серебряные Пруды Московской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должностными лицами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Серебряные Пруды Московской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 обращения либо заявления контролируемых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информационную систему Московской области «Портал государственных и муниципальных услуг (функций) Московской области», расположенную в информационно-телекоммуникац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ионной сети Интернет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www.uslugi.mosreg.ru,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 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роведении инспекционного визита;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 о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оведении документарной проверки;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проведении выездной проверки;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инспекционного визита;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документарной проверки;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выездной проверки;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предостережение о недопус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тимости 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916" w:leader="none"/>
          <w:tab w:val="left" w:pos="1134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предписание об устранении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выявленных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нарушений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b w:val="0"/>
          <w:bCs w:val="0"/>
          <w:i w:val="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уведомление о проведении обязате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льного профилактического визита;</w:t>
      </w:r>
      <w:r>
        <w:rPr>
          <w:b w:val="0"/>
          <w:bCs w:val="0"/>
          <w:i w:val="0"/>
          <w:iCs w:val="0"/>
        </w:rPr>
      </w:r>
      <w:r/>
    </w:p>
    <w:p>
      <w:pPr>
        <w:pStyle w:val="831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инф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ормационное письмо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 приложениями).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850" w:right="850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7"/>
    <w:next w:val="827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8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7"/>
    <w:next w:val="827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basedOn w:val="828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7"/>
    <w:next w:val="827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basedOn w:val="828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7"/>
    <w:next w:val="827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basedOn w:val="828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8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8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8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8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8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No Spacing"/>
    <w:uiPriority w:val="1"/>
    <w:qFormat/>
    <w:pPr>
      <w:spacing w:before="0" w:after="0" w:line="240" w:lineRule="auto"/>
    </w:pPr>
  </w:style>
  <w:style w:type="paragraph" w:styleId="669">
    <w:name w:val="Title"/>
    <w:basedOn w:val="827"/>
    <w:next w:val="827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basedOn w:val="828"/>
    <w:link w:val="669"/>
    <w:uiPriority w:val="10"/>
    <w:rPr>
      <w:sz w:val="48"/>
      <w:szCs w:val="48"/>
    </w:rPr>
  </w:style>
  <w:style w:type="paragraph" w:styleId="671">
    <w:name w:val="Subtitle"/>
    <w:basedOn w:val="827"/>
    <w:next w:val="827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basedOn w:val="828"/>
    <w:link w:val="671"/>
    <w:uiPriority w:val="11"/>
    <w:rPr>
      <w:sz w:val="24"/>
      <w:szCs w:val="24"/>
    </w:rPr>
  </w:style>
  <w:style w:type="paragraph" w:styleId="673">
    <w:name w:val="Quote"/>
    <w:basedOn w:val="827"/>
    <w:next w:val="827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7"/>
    <w:next w:val="827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7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basedOn w:val="828"/>
    <w:link w:val="677"/>
    <w:uiPriority w:val="99"/>
  </w:style>
  <w:style w:type="paragraph" w:styleId="679">
    <w:name w:val="Foot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basedOn w:val="828"/>
    <w:link w:val="679"/>
    <w:uiPriority w:val="99"/>
  </w:style>
  <w:style w:type="paragraph" w:styleId="681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679"/>
    <w:uiPriority w:val="99"/>
  </w:style>
  <w:style w:type="table" w:styleId="683">
    <w:name w:val="Table Grid"/>
    <w:basedOn w:val="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paragraph" w:styleId="831">
    <w:name w:val="List Paragraph"/>
    <w:basedOn w:val="827"/>
    <w:uiPriority w:val="34"/>
    <w:qFormat/>
    <w:pPr>
      <w:contextualSpacing/>
      <w:ind w:left="720"/>
    </w:pPr>
  </w:style>
  <w:style w:type="paragraph" w:styleId="832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spadm.ru/" TargetMode="External"/><Relationship Id="rId10" Type="http://schemas.openxmlformats.org/officeDocument/2006/relationships/hyperlink" Target="http://www.uslugi.mosre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29</cp:revision>
  <dcterms:created xsi:type="dcterms:W3CDTF">2022-11-24T14:17:00Z</dcterms:created>
  <dcterms:modified xsi:type="dcterms:W3CDTF">2025-01-20T13:54:46Z</dcterms:modified>
</cp:coreProperties>
</file>