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</w:t>
      </w:r>
      <w:r/>
    </w:p>
    <w:p>
      <w:pPr>
        <w:ind w:left="567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________</w:t>
      </w:r>
      <w:r>
        <w:rPr>
          <w:rFonts w:ascii="Times New Roman" w:hAnsi="Times New Roman"/>
          <w:sz w:val="24"/>
          <w:szCs w:val="24"/>
        </w:rPr>
        <w:t xml:space="preserve">_______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color w:val="auto"/>
        </w:rPr>
      </w:r>
      <w:r/>
    </w:p>
    <w:p>
      <w:pPr>
        <w:jc w:val="center"/>
        <w:spacing w:after="0"/>
        <w:rPr>
          <w:rFonts w:ascii="Times New Roman" w:hAnsi="Times New Roman"/>
          <w:color w:val="auto"/>
          <w:sz w:val="28"/>
          <w:szCs w:val="24"/>
        </w:rPr>
      </w:pPr>
      <w:r>
        <w:rPr>
          <w:color w:val="auto"/>
        </w:rPr>
      </w:r>
      <w:r>
        <w:rPr>
          <w:rFonts w:ascii="Times New Roman" w:hAnsi="Times New Roman"/>
          <w:color w:val="auto"/>
          <w:sz w:val="28"/>
          <w:szCs w:val="24"/>
        </w:rPr>
        <w:t xml:space="preserve">В</w:t>
      </w:r>
      <w:r>
        <w:rPr>
          <w:rFonts w:ascii="Times New Roman" w:hAnsi="Times New Roman"/>
          <w:color w:val="auto"/>
          <w:sz w:val="28"/>
          <w:szCs w:val="24"/>
        </w:rPr>
        <w:t xml:space="preserve">едомственная программа </w:t>
      </w:r>
      <w:r>
        <w:rPr>
          <w:rFonts w:ascii="Times New Roman" w:hAnsi="Times New Roman"/>
          <w:color w:val="auto"/>
          <w:sz w:val="28"/>
          <w:szCs w:val="24"/>
        </w:rPr>
        <w:t xml:space="preserve">профилактики </w:t>
      </w:r>
      <w:bookmarkStart w:id="3" w:name="OLE_LINK22"/>
      <w:r>
        <w:rPr>
          <w:color w:val="auto"/>
        </w:rPr>
      </w:r>
      <w:bookmarkStart w:id="4" w:name="OLE_LINK23"/>
      <w:r>
        <w:rPr>
          <w:rFonts w:ascii="Times New Roman" w:hAnsi="Times New Roman"/>
          <w:color w:val="auto"/>
          <w:sz w:val="28"/>
          <w:szCs w:val="24"/>
        </w:rPr>
        <w:t xml:space="preserve">рисков причинения </w:t>
      </w:r>
      <w:r>
        <w:rPr>
          <w:rFonts w:ascii="Times New Roman" w:hAnsi="Times New Roman"/>
          <w:color w:val="auto"/>
          <w:sz w:val="28"/>
          <w:szCs w:val="24"/>
        </w:rPr>
        <w:t xml:space="preserve">вреда </w:t>
      </w:r>
      <w:r>
        <w:rPr>
          <w:rFonts w:ascii="Times New Roman" w:hAnsi="Times New Roman"/>
          <w:color w:val="auto"/>
          <w:sz w:val="28"/>
          <w:szCs w:val="24"/>
        </w:rPr>
        <w:t xml:space="preserve">(ущерба)</w:t>
      </w:r>
      <w:r>
        <w:rPr>
          <w:rFonts w:ascii="Times New Roman" w:hAnsi="Times New Roman"/>
          <w:color w:val="auto"/>
          <w:sz w:val="28"/>
          <w:szCs w:val="24"/>
        </w:rPr>
        <w:t xml:space="preserve"> охраняемым</w:t>
      </w:r>
      <w:r>
        <w:rPr>
          <w:rFonts w:ascii="Times New Roman" w:hAnsi="Times New Roman"/>
          <w:color w:val="auto"/>
          <w:sz w:val="28"/>
          <w:szCs w:val="24"/>
        </w:rPr>
        <w:t xml:space="preserve"> законом ценностям</w:t>
      </w:r>
      <w:bookmarkEnd w:id="3"/>
      <w:r>
        <w:rPr>
          <w:color w:val="auto"/>
        </w:rPr>
      </w:r>
      <w:bookmarkEnd w:id="4"/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в сфере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жилищного контроля в границах городского округа Серебряные Пруды Московской области </w:t>
      </w:r>
      <w:r>
        <w:rPr>
          <w:rFonts w:ascii="Times New Roman" w:hAnsi="Times New Roman"/>
          <w:color w:val="auto"/>
          <w:sz w:val="28"/>
          <w:szCs w:val="24"/>
        </w:rPr>
        <w:t xml:space="preserve">на </w:t>
      </w:r>
      <w:r>
        <w:rPr>
          <w:rFonts w:ascii="Times New Roman" w:hAnsi="Times New Roman"/>
          <w:color w:val="auto"/>
          <w:sz w:val="28"/>
          <w:szCs w:val="24"/>
        </w:rPr>
        <w:t xml:space="preserve">20</w:t>
      </w:r>
      <w:r>
        <w:rPr>
          <w:rFonts w:ascii="Times New Roman" w:hAnsi="Times New Roman"/>
          <w:color w:val="auto"/>
          <w:sz w:val="28"/>
          <w:szCs w:val="24"/>
        </w:rPr>
        <w:t xml:space="preserve">2</w:t>
      </w:r>
      <w:r>
        <w:rPr>
          <w:rFonts w:ascii="Times New Roman" w:hAnsi="Times New Roman"/>
          <w:color w:val="auto"/>
          <w:sz w:val="28"/>
          <w:szCs w:val="24"/>
        </w:rPr>
        <w:t xml:space="preserve">5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  <w:szCs w:val="24"/>
        </w:rPr>
        <w:t xml:space="preserve">год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color w:val="auto"/>
        </w:rPr>
      </w:r>
      <w:r/>
    </w:p>
    <w:p>
      <w:pPr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923"/>
        <w:ind w:right="290"/>
        <w:jc w:val="center"/>
        <w:spacing w:before="0"/>
      </w:pPr>
      <w:r>
        <w:t xml:space="preserve">ПАСПОРТ</w:t>
      </w:r>
      <w:r/>
    </w:p>
    <w:p>
      <w:pPr>
        <w:pStyle w:val="944"/>
        <w:ind w:left="0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944"/>
        <w:ind w:left="0" w:firstLine="0"/>
        <w:jc w:val="left"/>
        <w:spacing w:before="6"/>
        <w:rPr>
          <w:sz w:val="17"/>
        </w:rPr>
      </w:pPr>
      <w:r>
        <w:rPr>
          <w:sz w:val="17"/>
        </w:rPr>
      </w:r>
      <w:r/>
    </w:p>
    <w:tbl>
      <w:tblPr>
        <w:tblW w:w="0" w:type="auto"/>
        <w:tblInd w:w="5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>
        <w:trPr>
          <w:trHeight w:val="551"/>
        </w:trPr>
        <w:tc>
          <w:tcPr>
            <w:shd w:val="clear" w:color="auto" w:fill="auto"/>
            <w:tcW w:w="3353" w:type="dxa"/>
            <w:textDirection w:val="lrTb"/>
            <w:noWrap w:val="false"/>
          </w:tcPr>
          <w:p>
            <w:pPr>
              <w:pStyle w:val="946"/>
              <w:spacing w:line="264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Наименование программы</w:t>
            </w: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6815" w:type="dxa"/>
            <w:textDirection w:val="lrTb"/>
            <w:noWrap w:val="false"/>
          </w:tcPr>
          <w:p>
            <w:pPr>
              <w:pStyle w:val="946"/>
              <w:ind w:left="110"/>
              <w:jc w:val="both"/>
              <w:spacing w:line="264" w:lineRule="exact"/>
              <w:tabs>
                <w:tab w:val="left" w:pos="885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Ведомственная программа профилактики </w:t>
            </w:r>
            <w:r>
              <w:rPr>
                <w:color w:val="auto"/>
                <w:sz w:val="24"/>
                <w:szCs w:val="24"/>
              </w:rPr>
              <w:t xml:space="preserve">рисков причинения </w:t>
            </w:r>
            <w:r>
              <w:rPr>
                <w:color w:val="auto"/>
                <w:sz w:val="24"/>
                <w:szCs w:val="24"/>
              </w:rPr>
              <w:t xml:space="preserve">вреда </w:t>
            </w:r>
            <w:r>
              <w:rPr>
                <w:color w:val="auto"/>
                <w:sz w:val="24"/>
                <w:szCs w:val="24"/>
              </w:rPr>
              <w:t xml:space="preserve">(ущерба)</w:t>
            </w:r>
            <w:r>
              <w:rPr>
                <w:color w:val="auto"/>
                <w:sz w:val="24"/>
                <w:szCs w:val="24"/>
              </w:rPr>
              <w:t xml:space="preserve"> охраняемым</w:t>
            </w:r>
            <w:r>
              <w:rPr>
                <w:color w:val="auto"/>
                <w:sz w:val="24"/>
                <w:szCs w:val="24"/>
              </w:rPr>
              <w:t xml:space="preserve"> законом ценностям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сфере муниципального жилищного контроля в границах городского округа Серебряные Пруды Московской области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(далее – программа профилактики)</w:t>
            </w: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>
          <w:trHeight w:val="1657"/>
        </w:trPr>
        <w:tc>
          <w:tcPr>
            <w:shd w:val="clear" w:color="auto" w:fill="auto"/>
            <w:tcW w:w="3353" w:type="dxa"/>
            <w:textDirection w:val="lrTb"/>
            <w:noWrap w:val="false"/>
          </w:tcPr>
          <w:p>
            <w:pPr>
              <w:pStyle w:val="946"/>
              <w:ind w:left="107" w:right="847"/>
              <w:rPr>
                <w:sz w:val="24"/>
              </w:rPr>
            </w:pPr>
            <w:r>
              <w:rPr>
                <w:sz w:val="24"/>
              </w:rPr>
              <w:t xml:space="preserve">Правовые основания разработки программы</w:t>
            </w:r>
            <w:r>
              <w:rPr>
                <w:sz w:val="24"/>
              </w:rPr>
              <w:t xml:space="preserve"> профилактики</w:t>
            </w:r>
            <w:r/>
          </w:p>
        </w:tc>
        <w:tc>
          <w:tcPr>
            <w:shd w:val="clear" w:color="auto" w:fill="auto"/>
            <w:tcW w:w="6815" w:type="dxa"/>
            <w:textDirection w:val="lrTb"/>
            <w:noWrap w:val="false"/>
          </w:tcPr>
          <w:p>
            <w:pPr>
              <w:pStyle w:val="946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31.07.2020 № 248-ФЗ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«О государственном контроле (надзоре) и муниципальном контроле в Российской Федерации»</w:t>
            </w:r>
            <w:r>
              <w:rPr>
                <w:sz w:val="24"/>
              </w:rPr>
              <w:t xml:space="preserve"> (далее - </w:t>
            </w:r>
            <w:r>
              <w:rPr>
                <w:sz w:val="24"/>
              </w:rPr>
              <w:t xml:space="preserve">Федеральный закон № 248-ФЗ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  <w:r/>
          </w:p>
        </w:tc>
      </w:tr>
      <w:tr>
        <w:trPr>
          <w:trHeight w:val="275"/>
        </w:trPr>
        <w:tc>
          <w:tcPr>
            <w:shd w:val="clear" w:color="auto" w:fill="auto"/>
            <w:tcW w:w="3353" w:type="dxa"/>
            <w:textDirection w:val="lrTb"/>
            <w:noWrap w:val="false"/>
          </w:tcPr>
          <w:p>
            <w:pPr>
              <w:pStyle w:val="946"/>
              <w:ind w:left="107"/>
              <w:spacing w:line="255" w:lineRule="exact"/>
              <w:rPr>
                <w:bCs w:val="0"/>
                <w:i w:val="0"/>
                <w:color w:val="auto"/>
                <w:sz w:val="24"/>
              </w:rPr>
            </w:pPr>
            <w:r>
              <w:rPr>
                <w:i w:val="0"/>
                <w:iCs w:val="0"/>
                <w:color w:val="auto"/>
                <w:sz w:val="24"/>
              </w:rPr>
              <w:t xml:space="preserve">Разработчик программы</w:t>
            </w:r>
            <w:r>
              <w:rPr>
                <w:i w:val="0"/>
                <w:iCs w:val="0"/>
                <w:color w:val="auto"/>
                <w:sz w:val="24"/>
              </w:rPr>
              <w:t xml:space="preserve"> профилактики</w:t>
            </w:r>
            <w:r>
              <w:rPr>
                <w:i w:val="0"/>
                <w:iCs w:val="0"/>
                <w:color w:val="auto"/>
              </w:rPr>
            </w:r>
            <w:r/>
          </w:p>
        </w:tc>
        <w:tc>
          <w:tcPr>
            <w:shd w:val="clear" w:color="auto" w:fill="auto"/>
            <w:tcW w:w="6815" w:type="dxa"/>
            <w:textDirection w:val="lrTb"/>
            <w:noWrap w:val="false"/>
          </w:tcPr>
          <w:p>
            <w:pPr>
              <w:pStyle w:val="946"/>
              <w:ind w:left="0"/>
              <w:jc w:val="both"/>
              <w:spacing w:line="255" w:lineRule="exact"/>
              <w:rPr>
                <w:bCs w:val="0"/>
                <w:i w:val="0"/>
                <w:color w:val="auto"/>
                <w:sz w:val="24"/>
              </w:rPr>
            </w:pPr>
            <w:r>
              <w:rPr>
                <w:i w:val="0"/>
                <w:iCs w:val="0"/>
                <w:color w:val="auto"/>
                <w:sz w:val="24"/>
              </w:rPr>
              <w:t xml:space="preserve"> Отдел по жилищным вопросам администрации городского округа Серебряные Пруды  Московской области</w:t>
            </w:r>
            <w:r>
              <w:rPr>
                <w:i w:val="0"/>
                <w:iCs w:val="0"/>
                <w:color w:val="auto"/>
                <w:sz w:val="24"/>
              </w:rPr>
              <w:t xml:space="preserve"> </w:t>
            </w:r>
            <w:r>
              <w:rPr>
                <w:i w:val="0"/>
                <w:iCs w:val="0"/>
                <w:color w:val="auto"/>
                <w:sz w:val="24"/>
              </w:rPr>
              <w:t xml:space="preserve">(далее - </w:t>
            </w:r>
            <w:r>
              <w:rPr>
                <w:i w:val="0"/>
                <w:iCs w:val="0"/>
                <w:color w:val="auto"/>
                <w:sz w:val="24"/>
                <w:szCs w:val="24"/>
              </w:rPr>
              <w:t xml:space="preserve">контрольн</w:t>
            </w:r>
            <w:r>
              <w:rPr>
                <w:i w:val="0"/>
                <w:iCs w:val="0"/>
                <w:color w:val="auto"/>
                <w:sz w:val="24"/>
                <w:szCs w:val="24"/>
              </w:rPr>
              <w:t xml:space="preserve">ый</w:t>
            </w:r>
            <w:r>
              <w:rPr>
                <w:i w:val="0"/>
                <w:iCs w:val="0"/>
                <w:color w:val="auto"/>
                <w:sz w:val="24"/>
                <w:szCs w:val="24"/>
              </w:rPr>
              <w:t xml:space="preserve"> (надзорн</w:t>
            </w:r>
            <w:r>
              <w:rPr>
                <w:i w:val="0"/>
                <w:iCs w:val="0"/>
                <w:color w:val="auto"/>
                <w:sz w:val="24"/>
                <w:szCs w:val="24"/>
              </w:rPr>
              <w:t xml:space="preserve">ый</w:t>
            </w:r>
            <w:r>
              <w:rPr>
                <w:i w:val="0"/>
                <w:iCs w:val="0"/>
                <w:color w:val="auto"/>
                <w:sz w:val="24"/>
                <w:szCs w:val="24"/>
              </w:rPr>
              <w:t xml:space="preserve">) орган</w:t>
            </w:r>
            <w:r>
              <w:rPr>
                <w:i w:val="0"/>
                <w:iCs w:val="0"/>
                <w:color w:val="auto"/>
                <w:sz w:val="24"/>
                <w:szCs w:val="24"/>
              </w:rPr>
              <w:t xml:space="preserve">)</w:t>
            </w:r>
            <w:r>
              <w:rPr>
                <w:i w:val="0"/>
                <w:iCs w:val="0"/>
                <w:color w:val="auto"/>
              </w:rPr>
            </w:r>
            <w:r/>
          </w:p>
        </w:tc>
      </w:tr>
      <w:tr>
        <w:trPr>
          <w:trHeight w:val="2251"/>
        </w:trPr>
        <w:tc>
          <w:tcPr>
            <w:shd w:val="clear" w:color="auto" w:fill="auto"/>
            <w:tcW w:w="3353" w:type="dxa"/>
            <w:textDirection w:val="lrTb"/>
            <w:noWrap w:val="false"/>
          </w:tcPr>
          <w:p>
            <w:pPr>
              <w:pStyle w:val="94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Цели программы</w:t>
            </w:r>
            <w:r>
              <w:rPr>
                <w:sz w:val="24"/>
              </w:rPr>
              <w:t xml:space="preserve"> профилактики</w:t>
            </w:r>
            <w:r/>
          </w:p>
        </w:tc>
        <w:tc>
          <w:tcPr>
            <w:shd w:val="clear" w:color="auto" w:fill="auto"/>
            <w:tcW w:w="6815" w:type="dxa"/>
            <w:textDirection w:val="lrTb"/>
            <w:noWrap w:val="false"/>
          </w:tcPr>
          <w:p>
            <w:pPr>
              <w:pStyle w:val="946"/>
              <w:ind w:right="90"/>
              <w:jc w:val="both"/>
              <w:tabs>
                <w:tab w:val="left" w:pos="3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Стимулирование добросовестного соблюдения обязательных требований всеми контролируемыми лицами.</w:t>
            </w:r>
            <w:r/>
          </w:p>
          <w:p>
            <w:pPr>
              <w:pStyle w:val="946"/>
              <w:ind w:right="90"/>
              <w:jc w:val="both"/>
              <w:tabs>
                <w:tab w:val="left" w:pos="3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 Устранение условий, причин и факторов, способных привести</w:t>
            </w:r>
            <w:r/>
          </w:p>
          <w:p>
            <w:pPr>
              <w:pStyle w:val="946"/>
              <w:ind w:right="90"/>
              <w:jc w:val="both"/>
              <w:tabs>
                <w:tab w:val="left" w:pos="3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 нарушениям обязательных требований и (или) причинению вреда (ущерба) охраняемым законом ценностям.</w:t>
            </w:r>
            <w:r/>
          </w:p>
          <w:p>
            <w:pPr>
              <w:pStyle w:val="946"/>
              <w:ind w:right="90"/>
              <w:jc w:val="both"/>
              <w:tabs>
                <w:tab w:val="left" w:pos="3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  <w:r/>
          </w:p>
          <w:p>
            <w:pPr>
              <w:pStyle w:val="946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381"/>
        </w:trPr>
        <w:tc>
          <w:tcPr>
            <w:shd w:val="clear" w:color="auto" w:fill="auto"/>
            <w:tcW w:w="3353" w:type="dxa"/>
            <w:textDirection w:val="lrTb"/>
            <w:noWrap w:val="false"/>
          </w:tcPr>
          <w:p>
            <w:pPr>
              <w:pStyle w:val="94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Задачи программы</w:t>
            </w:r>
            <w:r>
              <w:rPr>
                <w:sz w:val="24"/>
              </w:rPr>
              <w:t xml:space="preserve"> профилактики</w:t>
            </w:r>
            <w:r/>
          </w:p>
        </w:tc>
        <w:tc>
          <w:tcPr>
            <w:shd w:val="clear" w:color="auto" w:fill="auto"/>
            <w:tcW w:w="68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ыявление причин, факторов и условий, способствующих нарушению обязательных требований в сфере муниципального жилищного</w:t>
            </w:r>
            <w:r>
              <w:rPr>
                <w:rFonts w:ascii="Times New Roman" w:hAnsi="Times New Roman" w:eastAsia="Times New Roman"/>
                <w:i/>
                <w:color w:val="0070c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контроля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, определение способов устранения или снижения рисков их возникновения;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странение причин, факторов и условий, способствующих нарушению обязательных требований;</w:t>
            </w:r>
            <w:r/>
          </w:p>
        </w:tc>
      </w:tr>
    </w:tbl>
    <w:p>
      <w:pPr>
        <w:pStyle w:val="944"/>
        <w:ind w:left="0" w:firstLine="0"/>
        <w:jc w:val="left"/>
        <w:spacing w:before="2"/>
        <w:rPr>
          <w:sz w:val="10"/>
        </w:rPr>
      </w:pPr>
      <w:r>
        <w:rPr>
          <w:sz w:val="10"/>
        </w:rPr>
      </w:r>
      <w:r/>
    </w:p>
    <w:tbl>
      <w:tblPr>
        <w:tblW w:w="0" w:type="auto"/>
        <w:tblInd w:w="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>
        <w:trPr>
          <w:trHeight w:val="4276"/>
        </w:trPr>
        <w:tc>
          <w:tcPr>
            <w:shd w:val="clear" w:color="auto" w:fill="auto"/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946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7022" w:type="dxa"/>
            <w:textDirection w:val="lrTb"/>
            <w:noWrap w:val="false"/>
          </w:tcPr>
          <w:p>
            <w:pPr>
              <w:pStyle w:val="946"/>
              <w:ind w:right="88"/>
              <w:jc w:val="both"/>
              <w:tabs>
                <w:tab w:val="left" w:pos="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овышение уровня правовой грамотности подконтрольных </w:t>
            </w:r>
            <w:r>
              <w:rPr>
                <w:sz w:val="24"/>
              </w:rPr>
              <w:t xml:space="preserve">контролируемых лиц</w:t>
            </w:r>
            <w:r>
              <w:rPr>
                <w:sz w:val="24"/>
              </w:rPr>
              <w:t xml:space="preserve">, в том числе путем обеспечения доступности информации об обязательных требованиях и необходимых мерах по их исполнению;</w:t>
            </w:r>
            <w:r/>
          </w:p>
          <w:p>
            <w:pPr>
              <w:pStyle w:val="946"/>
              <w:ind w:right="88"/>
              <w:jc w:val="both"/>
              <w:tabs>
                <w:tab w:val="left" w:pos="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пределение перечня видов и сбор статистических данных, необходимых для организации профилактической работы;</w:t>
            </w:r>
            <w:r/>
          </w:p>
          <w:p>
            <w:pPr>
              <w:pStyle w:val="946"/>
              <w:ind w:right="88"/>
              <w:jc w:val="both"/>
              <w:tabs>
                <w:tab w:val="left" w:pos="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овышение квалификации кадрового состава администрации городского округа Серебряные Пруды Московской области</w:t>
            </w:r>
            <w:r>
              <w:rPr>
                <w:sz w:val="24"/>
              </w:rPr>
              <w:t xml:space="preserve">;</w:t>
            </w:r>
            <w:r/>
          </w:p>
          <w:p>
            <w:pPr>
              <w:pStyle w:val="946"/>
              <w:ind w:right="88"/>
              <w:jc w:val="both"/>
              <w:tabs>
                <w:tab w:val="left" w:pos="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6. С</w:t>
            </w:r>
            <w:r>
              <w:rPr>
                <w:sz w:val="24"/>
              </w:rPr>
              <w:t xml:space="preserve">оздание системы консультирования подконтрольных </w:t>
            </w:r>
            <w:r>
              <w:rPr>
                <w:sz w:val="24"/>
              </w:rPr>
              <w:t xml:space="preserve">контролируемых лиц</w:t>
            </w:r>
            <w:r>
              <w:rPr>
                <w:sz w:val="24"/>
              </w:rPr>
              <w:t xml:space="preserve">, в том числе с использованием современных информационно-телекоммуникационных технологий;</w:t>
            </w:r>
            <w:r/>
          </w:p>
          <w:p>
            <w:pPr>
              <w:pStyle w:val="946"/>
              <w:ind w:right="88"/>
              <w:jc w:val="both"/>
              <w:tabs>
                <w:tab w:val="left" w:pos="3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</w:t>
            </w:r>
            <w:r>
              <w:rPr>
                <w:sz w:val="24"/>
              </w:rPr>
              <w:t xml:space="preserve">ормирование одинакового понимания обязательных требований в сфер</w:t>
            </w:r>
            <w:r>
              <w:rPr>
                <w:i w:val="0"/>
                <w:iCs w:val="0"/>
                <w:color w:val="auto"/>
                <w:sz w:val="24"/>
              </w:rPr>
              <w:t xml:space="preserve">е </w:t>
            </w:r>
            <w:r>
              <w:rPr>
                <w:i w:val="0"/>
                <w:iCs w:val="0"/>
                <w:color w:val="auto"/>
                <w:sz w:val="24"/>
              </w:rPr>
              <w:t xml:space="preserve">муниципального жилищного контроля</w:t>
            </w:r>
            <w:r>
              <w:rPr>
                <w:i w:val="0"/>
                <w:iCs w:val="0"/>
                <w:color w:val="auto"/>
                <w:sz w:val="24"/>
              </w:rPr>
              <w:t xml:space="preserve"> у</w:t>
            </w:r>
            <w:r>
              <w:rPr>
                <w:sz w:val="24"/>
              </w:rPr>
              <w:t xml:space="preserve"> всех участников контрольно-надзорной деятельности на территории Московской области.</w:t>
            </w:r>
            <w:r/>
          </w:p>
        </w:tc>
      </w:tr>
      <w:tr>
        <w:trPr>
          <w:trHeight w:val="693"/>
        </w:trPr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pStyle w:val="946"/>
              <w:ind w:left="107" w:right="480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z w:val="24"/>
              </w:rPr>
              <w:t xml:space="preserve">реализации программы</w:t>
            </w:r>
            <w:r>
              <w:rPr>
                <w:sz w:val="24"/>
              </w:rPr>
              <w:t xml:space="preserve"> профилактики</w:t>
            </w:r>
            <w:r/>
          </w:p>
        </w:tc>
        <w:tc>
          <w:tcPr>
            <w:shd w:val="clear" w:color="auto" w:fill="auto"/>
            <w:tcW w:w="7022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/>
          </w:p>
        </w:tc>
      </w:tr>
      <w:tr>
        <w:trPr>
          <w:trHeight w:val="418"/>
        </w:trPr>
        <w:tc>
          <w:tcPr>
            <w:shd w:val="clear" w:color="auto" w:fill="auto"/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94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Источники финансирования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7022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ности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контрольн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ого (надзорн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ого) органа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47"/>
        </w:trPr>
        <w:tc>
          <w:tcPr>
            <w:shd w:val="clear" w:color="auto" w:fill="auto"/>
            <w:tcBorders>
              <w:top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946"/>
              <w:ind w:left="107" w:right="8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Ожидаемые конечные результаты реализации программы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рофилактики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7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нижение рисков причинения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реда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(ущерба)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охраняемым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законом ценностям;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величение доли законопослушных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органа, осуществляющего государственный контроль</w:t>
            </w:r>
            <w:r>
              <w:rPr>
                <w:rFonts w:ascii="Times New Roman" w:hAnsi="Times New Roman" w:eastAsia="Times New Roman"/>
                <w:color w:val="5b9bd5" w:themeColor="accen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 территории Московской области;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недрение различных способов профилактики;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азработка и внедрение технологий профилактической работы внутри контрольного (надзорного) органа;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азработка образцов эффективного, законопослушного поведения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беспечение квалифицированной профилактической работы должностных лиц контрольного (надзорного) органа;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овышение прозрачности деятельности контрольного (надзорного) органа;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меньшение административной нагрузки 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овышение уровня правовой грамотности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беспечение единообразия понимания предмета контроля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контролируемыми лицами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отивация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  <w:r/>
          </w:p>
        </w:tc>
      </w:tr>
    </w:tbl>
    <w:p>
      <w:pPr>
        <w:jc w:val="both"/>
        <w:spacing w:line="270" w:lineRule="atLeast"/>
        <w:rPr>
          <w:sz w:val="24"/>
        </w:rPr>
        <w:sectPr>
          <w:headerReference w:type="first" r:id="rId9"/>
          <w:footerReference w:type="default" r:id="rId12"/>
          <w:footerReference w:type="first" r:id="rId13"/>
          <w:footnotePr/>
          <w:endnotePr/>
          <w:type w:val="nextPage"/>
          <w:pgSz w:w="11900" w:h="16850" w:orient="portrait"/>
          <w:pgMar w:top="1000" w:right="100" w:bottom="280" w:left="600" w:header="710" w:footer="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925"/>
        <w:ind w:left="0" w:firstLine="567"/>
        <w:jc w:val="center"/>
        <w:spacing w:before="129" w:line="295" w:lineRule="exact"/>
        <w:rPr>
          <w:sz w:val="28"/>
        </w:rPr>
      </w:pPr>
      <w:r>
        <w:rPr>
          <w:sz w:val="28"/>
        </w:rPr>
        <w:t xml:space="preserve">Раздел 1. </w:t>
      </w:r>
      <w:r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/>
    </w:p>
    <w:p>
      <w:pPr>
        <w:ind w:right="467" w:firstLine="567"/>
        <w:jc w:val="both"/>
        <w:spacing w:after="0"/>
        <w:rPr>
          <w:i/>
          <w:sz w:val="26"/>
        </w:rPr>
      </w:pPr>
      <w:r>
        <w:rPr>
          <w:i/>
          <w:sz w:val="26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1.1. </w:t>
      </w:r>
      <w:r>
        <w:rPr>
          <w:rFonts w:ascii="Times New Roman" w:hAnsi="Times New Roman" w:eastAsia="Times New Roman"/>
          <w:sz w:val="28"/>
          <w:szCs w:val="28"/>
        </w:rPr>
        <w:t xml:space="preserve">Контролируемыми лицами</w:t>
      </w:r>
      <w:r>
        <w:rPr>
          <w:rFonts w:ascii="Times New Roman" w:hAnsi="Times New Roman" w:eastAsia="Times New Roman"/>
          <w:sz w:val="28"/>
          <w:szCs w:val="28"/>
        </w:rPr>
        <w:t xml:space="preserve"> в сфере </w:t>
      </w:r>
      <w:r>
        <w:rPr>
          <w:rFonts w:ascii="Times New Roman" w:hAnsi="Times New Roman" w:eastAsia="Times New Roman"/>
          <w:i w:val="0"/>
          <w:iCs w:val="0"/>
          <w:color w:val="auto"/>
          <w:sz w:val="28"/>
          <w:szCs w:val="28"/>
        </w:rPr>
        <w:t xml:space="preserve">муниципального жилищного контроля</w:t>
      </w:r>
      <w:r>
        <w:rPr>
          <w:rFonts w:ascii="Times New Roman" w:hAnsi="Times New Roman" w:eastAsia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на территории городского округа Серебряные Пруды Московской области являются</w:t>
      </w:r>
      <w:r>
        <w:rPr>
          <w:rFonts w:ascii="Times New Roman" w:hAnsi="Times New Roman" w:eastAsia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/>
          <w:sz w:val="28"/>
          <w:szCs w:val="28"/>
        </w:rPr>
        <w:t xml:space="preserve"> юридические</w:t>
      </w:r>
      <w:r>
        <w:rPr>
          <w:rFonts w:ascii="Times New Roman" w:hAnsi="Times New Roman" w:eastAsia="Times New Roman"/>
          <w:sz w:val="28"/>
          <w:szCs w:val="28"/>
        </w:rPr>
        <w:t xml:space="preserve"> лица, индивидуальные предприниматели и граждане, деятельность или действия которых осуществляются в отношении муниципального жилищного фонда.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ъектами государственного контроля в сфере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</w:rPr>
        <w:t xml:space="preserve">муниципального жилищного контроля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Московской области является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</w:rPr>
        <w:t xml:space="preserve">еятельность, действия (бездействие) контролируемых лиц, в рамках которых должны соблюдаться обязательные требования, указанные в пунктах 1 - 11 части 1 статьи 20 Жилищного кодекса Российской Федерации, в отношении муниципального жилищного фонда.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1.2. Программа профилактики направлена 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повышение эффективности</w:t>
      </w:r>
      <w:r>
        <w:rPr>
          <w:rFonts w:ascii="Times New Roman" w:hAnsi="Times New Roman" w:eastAsia="Times New Roman"/>
          <w:sz w:val="28"/>
          <w:szCs w:val="28"/>
        </w:rPr>
        <w:t xml:space="preserve"> предупреждения нарушений обязательных требовани</w:t>
      </w:r>
      <w:r>
        <w:rPr>
          <w:rFonts w:ascii="Times New Roman" w:hAnsi="Times New Roman" w:eastAsia="Times New Roman"/>
          <w:sz w:val="28"/>
          <w:szCs w:val="28"/>
        </w:rPr>
        <w:t xml:space="preserve">й и повышение правовой грамотности </w:t>
      </w:r>
      <w:r>
        <w:rPr>
          <w:rFonts w:ascii="Times New Roman" w:hAnsi="Times New Roman" w:eastAsia="Times New Roman"/>
          <w:sz w:val="28"/>
          <w:szCs w:val="28"/>
        </w:rPr>
        <w:t xml:space="preserve">контролируемых лиц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1.3. Наиболее значимыми рисками в деятельности </w:t>
      </w:r>
      <w:r>
        <w:rPr>
          <w:rFonts w:ascii="Times New Roman" w:hAnsi="Times New Roman" w:eastAsia="Times New Roman"/>
          <w:sz w:val="28"/>
          <w:szCs w:val="28"/>
        </w:rPr>
        <w:t xml:space="preserve">контролируемых лиц</w:t>
      </w:r>
      <w:r>
        <w:rPr>
          <w:rFonts w:ascii="Times New Roman" w:hAnsi="Times New Roman" w:eastAsia="Times New Roman"/>
          <w:strike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являются: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957"/>
        <w:numPr>
          <w:ilvl w:val="0"/>
          <w:numId w:val="24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нарушение обязательных требований</w:t>
      </w:r>
      <w:r>
        <w:rPr>
          <w:rFonts w:ascii="Times New Roman" w:hAnsi="Times New Roman" w:cs="Times New Roman"/>
          <w:sz w:val="28"/>
        </w:rPr>
        <w:t xml:space="preserve">, указанных в пунктах 1 - 11 части 1 статьи 20 Жилищного кодекса Российской Федерации, в отношении муниципального жилищного фонда;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/>
    </w:p>
    <w:p>
      <w:pPr>
        <w:pStyle w:val="957"/>
        <w:numPr>
          <w:ilvl w:val="0"/>
          <w:numId w:val="24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  <w:t xml:space="preserve">нарушение обязательных требований, указанных в пункте 3 статьи 67 </w:t>
      </w:r>
      <w:r>
        <w:rPr>
          <w:rFonts w:ascii="Times New Roman" w:hAnsi="Times New Roman" w:cs="Times New Roman"/>
          <w:sz w:val="28"/>
        </w:rPr>
        <w:t xml:space="preserve">Жилищного кодекса Российской Федерации</w:t>
      </w:r>
      <w:r>
        <w:rPr>
          <w:rFonts w:ascii="Times New Roman" w:hAnsi="Times New Roman" w:cs="Times New Roman"/>
          <w:sz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1.4. В целях предотвращени</w:t>
      </w:r>
      <w:r>
        <w:rPr>
          <w:rFonts w:ascii="Times New Roman" w:hAnsi="Times New Roman" w:eastAsia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/>
          <w:sz w:val="28"/>
          <w:szCs w:val="28"/>
        </w:rPr>
        <w:t xml:space="preserve"> рисков причинения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вреда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(ущерба)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охраняемым</w:t>
      </w:r>
      <w:r>
        <w:rPr>
          <w:rFonts w:ascii="Times New Roman" w:hAnsi="Times New Roman" w:eastAsia="Times New Roman"/>
          <w:sz w:val="28"/>
          <w:szCs w:val="28"/>
        </w:rPr>
        <w:t xml:space="preserve"> законом ценностям, предупреждени</w:t>
      </w:r>
      <w:r>
        <w:rPr>
          <w:rFonts w:ascii="Times New Roman" w:hAnsi="Times New Roman" w:eastAsia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/>
          <w:sz w:val="28"/>
          <w:szCs w:val="28"/>
        </w:rPr>
        <w:t xml:space="preserve"> нарушений обязательных требований</w:t>
      </w:r>
      <w:r>
        <w:rPr>
          <w:rFonts w:ascii="Times New Roman" w:hAnsi="Times New Roman" w:eastAsia="Times New Roman"/>
          <w:sz w:val="28"/>
          <w:szCs w:val="28"/>
        </w:rPr>
        <w:t xml:space="preserve"> проведены профилактические мероприятия, предусмотренные планом-графиком, установленным</w:t>
      </w:r>
      <w:r>
        <w:rPr>
          <w:rFonts w:ascii="Times New Roman" w:hAnsi="Times New Roman" w:eastAsia="Times New Roman"/>
          <w:sz w:val="28"/>
          <w:szCs w:val="28"/>
        </w:rPr>
        <w:t xml:space="preserve"> программой профилактики на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202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4 </w:t>
      </w:r>
      <w:r>
        <w:rPr>
          <w:rFonts w:ascii="Times New Roman" w:hAnsi="Times New Roman" w:eastAsia="Times New Roman"/>
          <w:sz w:val="28"/>
          <w:szCs w:val="28"/>
        </w:rPr>
        <w:t xml:space="preserve">год.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Кроме того, н</w:t>
      </w:r>
      <w:r>
        <w:rPr>
          <w:rFonts w:ascii="Times New Roman" w:hAnsi="Times New Roman" w:eastAsia="Times New Roman"/>
          <w:sz w:val="28"/>
          <w:szCs w:val="28"/>
        </w:rPr>
        <w:t xml:space="preserve">а официальном </w:t>
      </w:r>
      <w:r>
        <w:rPr>
          <w:rFonts w:ascii="Times New Roman" w:hAnsi="Times New Roman" w:eastAsia="Times New Roman"/>
          <w:sz w:val="28"/>
          <w:szCs w:val="28"/>
        </w:rPr>
        <w:t xml:space="preserve">сайте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контрольного (надзорного) органа </w:t>
      </w:r>
      <w:r>
        <w:rPr>
          <w:rFonts w:ascii="Times New Roman" w:hAnsi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/>
          <w:i w:val="0"/>
          <w:iCs w:val="0"/>
          <w:color w:val="auto"/>
          <w:sz w:val="28"/>
          <w:szCs w:val="28"/>
        </w:rPr>
        <w:t xml:space="preserve">https://www.spadm.ru/</w:t>
      </w:r>
      <w:r>
        <w:rPr>
          <w:rFonts w:ascii="Times New Roman" w:hAnsi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в разделе «Муниципальный контроль</w:t>
      </w:r>
      <w:r>
        <w:rPr>
          <w:rFonts w:ascii="Times New Roman" w:hAnsi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8"/>
          <w:szCs w:val="28"/>
        </w:rPr>
        <w:t xml:space="preserve"> размещ</w:t>
      </w:r>
      <w:r>
        <w:rPr>
          <w:rFonts w:ascii="Times New Roman" w:hAnsi="Times New Roman" w:eastAsia="Times New Roman"/>
          <w:sz w:val="28"/>
          <w:szCs w:val="28"/>
        </w:rPr>
        <w:t xml:space="preserve">ены</w:t>
      </w:r>
      <w:r>
        <w:rPr>
          <w:rFonts w:ascii="Times New Roman" w:hAnsi="Times New Roman" w:eastAsia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1)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материалы и</w:t>
      </w:r>
      <w:r>
        <w:rPr>
          <w:rFonts w:ascii="Times New Roman" w:hAnsi="Times New Roman" w:eastAsia="Times New Roman"/>
          <w:sz w:val="28"/>
          <w:szCs w:val="28"/>
        </w:rPr>
        <w:t xml:space="preserve"> сведения, касающиеся осуществляемых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контрольным </w:t>
      </w:r>
      <w:r>
        <w:rPr>
          <w:rFonts w:ascii="Times New Roman" w:hAnsi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/>
          <w:sz w:val="28"/>
          <w:szCs w:val="28"/>
        </w:rPr>
        <w:t xml:space="preserve">надзорным</w:t>
      </w:r>
      <w:r>
        <w:rPr>
          <w:rFonts w:ascii="Times New Roman" w:hAnsi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sz w:val="28"/>
          <w:szCs w:val="28"/>
        </w:rPr>
        <w:t xml:space="preserve"> орган</w:t>
      </w:r>
      <w:r>
        <w:rPr>
          <w:rFonts w:ascii="Times New Roman" w:hAnsi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eastAsia="Times New Roman"/>
          <w:sz w:val="28"/>
          <w:szCs w:val="28"/>
        </w:rPr>
        <w:t xml:space="preserve"> мер по профилактике рисков причинения </w:t>
      </w:r>
      <w:r>
        <w:rPr>
          <w:rFonts w:ascii="Times New Roman" w:hAnsi="Times New Roman" w:eastAsia="Times New Roman"/>
          <w:sz w:val="28"/>
          <w:szCs w:val="28"/>
        </w:rPr>
        <w:t xml:space="preserve">вре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да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(ущерба)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охраняемым</w:t>
      </w:r>
      <w:r>
        <w:rPr>
          <w:rFonts w:ascii="Times New Roman" w:hAnsi="Times New Roman" w:eastAsia="Times New Roman"/>
          <w:sz w:val="28"/>
          <w:szCs w:val="28"/>
        </w:rPr>
        <w:t xml:space="preserve"> законом ценностям (нарушений обязательных требований)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постановление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контрольного (надзорного) органа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, утверждающее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государственного контроля (надзора)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3)</w:t>
      </w:r>
      <w:r>
        <w:rPr>
          <w:rFonts w:ascii="Times New Roman" w:hAnsi="Times New Roman" w:eastAsia="Times New Roman"/>
          <w:sz w:val="28"/>
          <w:szCs w:val="28"/>
        </w:rPr>
        <w:t xml:space="preserve"> переч</w:t>
      </w:r>
      <w:r>
        <w:rPr>
          <w:rFonts w:ascii="Times New Roman" w:hAnsi="Times New Roman" w:eastAsia="Times New Roman"/>
          <w:sz w:val="28"/>
          <w:szCs w:val="28"/>
        </w:rPr>
        <w:t xml:space="preserve">ень нормативных правовых актов 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 или их отдельных частей </w:t>
      </w:r>
      <w:r>
        <w:rPr>
          <w:rFonts w:ascii="Times New Roman" w:hAnsi="Times New Roman" w:eastAsia="Times New Roman"/>
          <w:i w:val="0"/>
          <w:iCs w:val="0"/>
          <w:color w:val="auto"/>
          <w:sz w:val="28"/>
          <w:szCs w:val="28"/>
        </w:rPr>
        <w:t xml:space="preserve">(</w:t>
      </w:r>
      <w:r>
        <w:rPr>
          <w:rFonts w:ascii="Times New Roman" w:hAnsi="Times New Roman" w:eastAsia="Times New Roman"/>
          <w:i w:val="0"/>
          <w:iCs w:val="0"/>
          <w:color w:val="auto"/>
          <w:sz w:val="28"/>
          <w:szCs w:val="28"/>
        </w:rPr>
        <w:t xml:space="preserve">https://www.spadm.ru/mc/house/npa.php</w:t>
      </w:r>
      <w:r>
        <w:rPr>
          <w:rFonts w:ascii="Times New Roman" w:hAnsi="Times New Roman" w:eastAsia="Times New Roman"/>
          <w:i w:val="0"/>
          <w:iCs w:val="0"/>
          <w:color w:val="auto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i/>
          <w:iCs/>
          <w:color w:val="auto"/>
          <w:sz w:val="28"/>
          <w:szCs w:val="28"/>
        </w:rPr>
        <w:t xml:space="preserve">;</w:t>
      </w:r>
      <w:r>
        <w:rPr>
          <w:i/>
          <w:iCs/>
          <w:color w:val="auto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руководство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организационно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технических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мероприятий при осуществлении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контрольным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(надзорным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 орган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государственного контроля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(надзора)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утвержд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аемое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постановлением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контрольного (надзорного) органа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5)</w:t>
      </w:r>
      <w:r>
        <w:rPr>
          <w:rFonts w:ascii="Times New Roman" w:hAnsi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</w:rPr>
        <w:t xml:space="preserve">бзор правоприменительной практики контрольно-надзорной деятельности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контрольного (надзорного</w:t>
      </w:r>
      <w:r>
        <w:rPr>
          <w:rFonts w:ascii="Times New Roman" w:hAnsi="Times New Roman" w:eastAsia="Times New Roman"/>
          <w:sz w:val="28"/>
          <w:szCs w:val="28"/>
        </w:rPr>
        <w:t xml:space="preserve">) орган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, утвержд</w:t>
      </w:r>
      <w:r>
        <w:rPr>
          <w:rFonts w:ascii="Times New Roman" w:hAnsi="Times New Roman" w:eastAsia="Times New Roman"/>
          <w:sz w:val="28"/>
          <w:szCs w:val="28"/>
        </w:rPr>
        <w:t xml:space="preserve">аемый</w:t>
      </w:r>
      <w:r>
        <w:rPr>
          <w:rFonts w:ascii="Times New Roman" w:hAnsi="Times New Roman" w:eastAsia="Times New Roman"/>
          <w:sz w:val="28"/>
          <w:szCs w:val="28"/>
        </w:rPr>
        <w:t xml:space="preserve"> приказом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контрольного (надзорного</w:t>
      </w:r>
      <w:r>
        <w:rPr>
          <w:rFonts w:ascii="Times New Roman" w:hAnsi="Times New Roman" w:eastAsia="Times New Roman"/>
          <w:sz w:val="28"/>
          <w:szCs w:val="28"/>
        </w:rPr>
        <w:t xml:space="preserve">) орган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6)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проверочные листы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(списки контрольных вопросов)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, применяемые при проведении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контрольных надзорных мероприятий</w:t>
      </w:r>
      <w:r>
        <w:rPr>
          <w:rFonts w:ascii="Times New Roman" w:hAnsi="Times New Roman" w:eastAsia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/>
          <w:i w:val="0"/>
          <w:iCs w:val="0"/>
          <w:color w:val="000000" w:themeColor="text1"/>
          <w:sz w:val="28"/>
          <w:szCs w:val="28"/>
        </w:rPr>
        <w:t xml:space="preserve">https://www.spadm.ru/mc/house/npa.php</w:t>
      </w:r>
      <w:r>
        <w:rPr>
          <w:rFonts w:ascii="Times New Roman" w:hAnsi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материалы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публичных обсуждени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с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контролируемыми лицами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; </w:t>
      </w:r>
      <w:r>
        <w:rPr>
          <w:highlight w:val="yellow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 материалы по результатам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вебинар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ов, проведенных с целью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разъяснени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контролируемым лицам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действующего законодательства, устанавливающего обязательные требования.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1.5. Данные о проведенных контрольно-надзорных и профилактических мероприятиях в 2024 году.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2024 году </w:t>
      </w:r>
      <w:r>
        <w:rPr>
          <w:rFonts w:ascii="Times New Roman" w:hAnsi="Times New Roman" w:eastAsia="Times New Roman"/>
          <w:sz w:val="28"/>
          <w:szCs w:val="28"/>
        </w:rPr>
        <w:t xml:space="preserve">предостережения о недопустимости нарушения обязательных требований в области муниципального жилищного контроля, предусмотренные</w:t>
      </w:r>
      <w:r>
        <w:rPr>
          <w:rFonts w:ascii="Times New Roman" w:hAnsi="Times New Roman" w:eastAsia="Times New Roman"/>
          <w:sz w:val="28"/>
          <w:szCs w:val="28"/>
        </w:rPr>
        <w:t xml:space="preserve"> ст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49 </w:t>
      </w:r>
      <w:r>
        <w:rPr>
          <w:rFonts w:ascii="Times New Roman" w:hAnsi="Times New Roman" w:eastAsia="Times New Roman"/>
          <w:sz w:val="28"/>
          <w:szCs w:val="28"/>
        </w:rPr>
        <w:t xml:space="preserve">Федеральн</w:t>
      </w:r>
      <w:r>
        <w:rPr>
          <w:rFonts w:ascii="Times New Roman" w:hAnsi="Times New Roman" w:eastAsia="Times New Roman"/>
          <w:sz w:val="28"/>
          <w:szCs w:val="28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</w:rPr>
        <w:t xml:space="preserve"> закон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№ 248-ФЗ</w:t>
      </w:r>
      <w:r>
        <w:rPr>
          <w:rFonts w:ascii="Times New Roman" w:hAnsi="Times New Roman" w:eastAsia="Times New Roman"/>
          <w:sz w:val="28"/>
          <w:szCs w:val="28"/>
        </w:rPr>
        <w:t xml:space="preserve">,  не выдавались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соответствии с требованиями Постановления Правительства Российской Федерации от 10.03.2022г. №336 «Об особенностях организации и осуществл</w:t>
      </w:r>
      <w:r>
        <w:rPr>
          <w:rFonts w:ascii="Times New Roman" w:hAnsi="Times New Roman" w:eastAsia="Times New Roman"/>
          <w:sz w:val="28"/>
          <w:szCs w:val="28"/>
        </w:rPr>
        <w:t xml:space="preserve">ения государственного контроля (надзора), муниципального контроля» установлено, что в 2024 году допускается проведение профилактических мероприятий, мероприятий по профилактике нарушений обязательных требований в отношении  контролируемых лиц в соответстви</w:t>
      </w:r>
      <w:r>
        <w:rPr>
          <w:rFonts w:ascii="Times New Roman" w:hAnsi="Times New Roman" w:eastAsia="Times New Roman"/>
          <w:sz w:val="28"/>
          <w:szCs w:val="28"/>
        </w:rPr>
        <w:t xml:space="preserve">и с Федеральным законом от 31.07.2020г. №248-ФЗ «О государственном контроле (надзоре) и муниципальном контроле в Российской Федерации», в связи с чем плановые/внеплановые проверки контролируемых лиц в сфере муниципального жилищного контроля не проводились.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Плановые контрольно-надзорные мероприятия в отношении жилых помещений, используемых гражданами, не проводились в соответствии с п. 7 ст. 20 Жилищного кодекса РФ.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При осуществлении муниципального жилищного контроля в отношении физических лиц, юридических лиц и индивидуальных предпринимателей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2024 году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проводились профилактические мероприятия, а именно: информирование, консультирование.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Для достижения поставленных целей и результатов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профилактики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нарушений обязательных требований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рограммой профилактики н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а 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20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 г.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была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установлена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система оценки эффективност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и профилактической деятельности, состоящая из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следующих целевых показателей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полно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муниципальном контроле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  <w:lang w:eastAsia="ru-RU"/>
        </w:rPr>
        <w:t xml:space="preserve">достигнут и составил 100 %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  <w:lang w:eastAsia="ru-RU"/>
        </w:rPr>
        <w:t xml:space="preserve">от запланированного (100%)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/>
    </w:p>
    <w:p>
      <w:pPr>
        <w:pStyle w:val="922"/>
        <w:ind w:firstLine="708"/>
        <w:jc w:val="both"/>
        <w:spacing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утверждение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доклад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содержащ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результаты обобщения правоприменительной практики по осуществлению мун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иципального контроля, его опубликование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  <w:lang w:eastAsia="ru-RU"/>
        </w:rPr>
        <w:t xml:space="preserve">достигнут и составил 100 %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  <w:lang w:eastAsia="ru-RU"/>
        </w:rPr>
        <w:t xml:space="preserve">от запланированного (100%)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22"/>
        <w:ind w:firstLine="708"/>
        <w:jc w:val="both"/>
        <w:spacing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доля лиц, удовлетворённых консультированием в общем количестве лиц, обратившихся за консультированием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  <w:lang w:eastAsia="ru-RU"/>
        </w:rPr>
        <w:t xml:space="preserve">достигнут и составил 100 %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  <w:lang w:eastAsia="ru-RU"/>
        </w:rPr>
        <w:t xml:space="preserve">от запланированного (100%)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Оценка эффективности реализации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рограммы профилактики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контрольн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ого 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(надзорн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) орган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на 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20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 г.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составила 100%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. В соответствии с данным значением уровень результативности профилактической работы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контрольн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(надзорн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) орган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определен как «Уровень лидерства».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Таким образом,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контрольным (надзорным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) орган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ом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выполнены все профилактические мероприятия, предусмотренные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рограммой профилактики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на 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202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 г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, что способствовало повышению информативности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контролируемых лиц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о действующих обязательных требованиях и снижению рисков причинения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вреда 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(ущерба)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охраняемым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 законом ценностям. </w:t>
      </w:r>
      <w:r>
        <w:rPr>
          <w:highlight w:val="white"/>
        </w:rPr>
      </w:r>
      <w:r/>
    </w:p>
    <w:p>
      <w:pPr>
        <w:ind w:right="467" w:firstLine="567"/>
        <w:jc w:val="both"/>
        <w:spacing w:after="0"/>
        <w:rPr>
          <w:i/>
          <w:sz w:val="26"/>
          <w:highlight w:val="white"/>
        </w:rPr>
      </w:pPr>
      <w:r>
        <w:rPr>
          <w:i/>
          <w:sz w:val="26"/>
          <w:highlight w:val="white"/>
        </w:rPr>
      </w:r>
      <w:r>
        <w:rPr>
          <w:highlight w:val="white"/>
        </w:rPr>
      </w:r>
      <w:r/>
    </w:p>
    <w:p>
      <w:pPr>
        <w:pStyle w:val="925"/>
        <w:ind w:left="0" w:firstLine="0"/>
        <w:jc w:val="center"/>
        <w:spacing w:before="1" w:line="295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2. Цели и задачи </w:t>
      </w:r>
      <w:r>
        <w:rPr>
          <w:rFonts w:ascii="Times New Roman" w:hAnsi="Times New Roman" w:cs="Times New Roman"/>
          <w:sz w:val="28"/>
        </w:rPr>
        <w:t xml:space="preserve">реализации программы профилактики</w:t>
      </w:r>
      <w:r>
        <w:rPr>
          <w:rFonts w:ascii="Times New Roman" w:hAnsi="Times New Roman" w:cs="Times New Roman"/>
        </w:rPr>
      </w:r>
      <w:r/>
    </w:p>
    <w:p>
      <w:pPr>
        <w:pStyle w:val="925"/>
        <w:ind w:left="0" w:firstLine="567"/>
        <w:spacing w:before="1" w:line="29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2.1. Целями проведения профилактических мероприятий являются: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57"/>
        <w:numPr>
          <w:ilvl w:val="0"/>
          <w:numId w:val="26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57"/>
        <w:numPr>
          <w:ilvl w:val="0"/>
          <w:numId w:val="26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устранение условий, причин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факторов, способных привести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57"/>
        <w:numPr>
          <w:ilvl w:val="0"/>
          <w:numId w:val="26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2.2. 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контрольным (надзорным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профилактических мероприятий направлено на решение следующих задач: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разъяснение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контролируемым лицам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обязательных требований;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вреда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(ущерба)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охран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яемым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контролируемого лица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проведение профилактических мероприятий с учетом данных факторов;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контролируемы</w:t>
      </w:r>
      <w:r>
        <w:rPr>
          <w:rFonts w:hint="eastAsia"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том числе с использованием современных информационно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телекоммуникационных технологий;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контролируемых лиц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 том числе путем обеспечения доступности информации об обязательных требованиях и необходимых мерах по их исполнению.</w:t>
      </w:r>
      <w:r>
        <w:rPr>
          <w:rFonts w:ascii="Times New Roman" w:hAnsi="Times New Roman" w:cs="Times New Roman"/>
        </w:rPr>
      </w:r>
      <w:r/>
    </w:p>
    <w:p>
      <w:pPr>
        <w:ind w:right="-2" w:firstLine="567"/>
        <w:jc w:val="both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профилактики в рамках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государственного контроля </w:t>
      </w:r>
      <w:r>
        <w:rPr>
          <w:rFonts w:ascii="Times New Roman" w:hAnsi="Times New Roman" w:cs="Times New Roman"/>
          <w:sz w:val="28"/>
        </w:rPr>
        <w:t xml:space="preserve">(надзора)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 год: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</w:rPr>
      </w:r>
      <w:r/>
    </w:p>
    <w:tbl>
      <w:tblPr>
        <w:tblW w:w="9498" w:type="dxa"/>
        <w:tblInd w:w="-22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0"/>
        <w:gridCol w:w="7122"/>
        <w:gridCol w:w="1696"/>
      </w:tblGrid>
      <w:tr>
        <w:trPr>
          <w:trHeight w:val="7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п</w:t>
            </w:r>
            <w:r>
              <w:rPr>
                <w:sz w:val="24"/>
                <w:szCs w:val="24"/>
                <w:highlight w:val="white"/>
                <w:lang w:val="en-US"/>
              </w:rPr>
              <w:t xml:space="preserve">/</w:t>
            </w:r>
            <w:r>
              <w:rPr>
                <w:sz w:val="24"/>
                <w:szCs w:val="24"/>
                <w:highlight w:val="white"/>
              </w:rPr>
              <w:t xml:space="preserve">п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2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Наименование показателей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5 год, %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2" w:type="dxa"/>
            <w:textDirection w:val="lrTb"/>
            <w:noWrap w:val="false"/>
          </w:tcPr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Доля проведенных профилактических мероприятий от запланированных:</w:t>
            </w:r>
            <w:r>
              <w:rPr>
                <w:highlight w:val="white"/>
              </w:rPr>
            </w:r>
            <w:r/>
          </w:p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position w:val="-28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2415" cy="516890"/>
                      <wp:effectExtent l="0" t="0" r="635" b="0"/>
                      <wp:docPr id="1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2414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1.4pt;height:40.7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/>
          </w:p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position w:val="-9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5135" cy="278130"/>
                      <wp:effectExtent l="0" t="0" r="0" b="7620"/>
                      <wp:docPr id="2" name="Рисуно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45135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5.0pt;height:21.9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sz w:val="20"/>
                <w:highlight w:val="white"/>
              </w:rPr>
              <w:t xml:space="preserve"> - фактическое количество профилактических мероприятий;</w:t>
            </w:r>
            <w:r>
              <w:rPr>
                <w:highlight w:val="white"/>
              </w:rPr>
            </w:r>
            <w:r/>
          </w:p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position w:val="-9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5135" cy="278130"/>
                      <wp:effectExtent l="0" t="0" r="0" b="7620"/>
                      <wp:docPr id="3" name="Рисуно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45135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5.0pt;height:21.9pt;mso-wrap-distance-left:0.0pt;mso-wrap-distance-top:0.0pt;mso-wrap-distance-right:0.0pt;mso-wrap-distance-bottom:0.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0"/>
                <w:highlight w:val="white"/>
              </w:rPr>
              <w:t xml:space="preserve"> - плановое количество профилактических мероприятий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100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2" w:type="dxa"/>
            <w:textDirection w:val="lrTb"/>
            <w:noWrap w:val="false"/>
          </w:tcPr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Опубликование на официальном сайте нормативных правовых актов, содержащих обязательные требования (НПА):</w:t>
            </w:r>
            <w:r>
              <w:rPr>
                <w:highlight w:val="white"/>
              </w:rPr>
            </w:r>
            <w:r/>
          </w:p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position w:val="-32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1170" cy="556895"/>
                      <wp:effectExtent l="0" t="0" r="0" b="0"/>
                      <wp:docPr id="4" name="Рисуно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41170" cy="556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37.1pt;height:43.9pt;mso-wrap-distance-left:0.0pt;mso-wrap-distance-top:0.0pt;mso-wrap-distance-right:0.0pt;mso-wrap-distance-bottom:0.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/>
          </w:p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position w:val="-10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4520" cy="286385"/>
                      <wp:effectExtent l="0" t="0" r="5080" b="0"/>
                      <wp:docPr id="5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452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47.6pt;height:22.5pt;mso-wrap-distance-left:0.0pt;mso-wrap-distance-top:0.0pt;mso-wrap-distance-right:0.0pt;mso-wrap-distance-bottom:0.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0"/>
                <w:highlight w:val="white"/>
              </w:rPr>
              <w:t xml:space="preserve"> - количество НПА, содержащих обязательные требования, размещенных на официальном сайте;</w:t>
            </w:r>
            <w:r>
              <w:rPr>
                <w:highlight w:val="white"/>
              </w:rPr>
            </w:r>
            <w:r/>
          </w:p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position w:val="-10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6895" cy="286385"/>
                      <wp:effectExtent l="0" t="0" r="0" b="0"/>
                      <wp:docPr id="6" name="Рисуно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689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43.9pt;height:22.5pt;mso-wrap-distance-left:0.0pt;mso-wrap-distance-top:0.0pt;mso-wrap-distance-right:0.0pt;mso-wrap-distance-bottom:0.0pt;" stroked="f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0"/>
                <w:highlight w:val="white"/>
              </w:rPr>
              <w:t xml:space="preserve"> - общее количество утвержденных НПА, содержащих обязательные требования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100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2" w:type="dxa"/>
            <w:textDirection w:val="lrTb"/>
            <w:noWrap w:val="false"/>
          </w:tcPr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Доля выданных предостережений о недопустимости нарушения обязательных требований:</w:t>
            </w:r>
            <w:r>
              <w:rPr>
                <w:highlight w:val="white"/>
              </w:rPr>
            </w:r>
            <w:r/>
          </w:p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position w:val="-28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1295" cy="516890"/>
                      <wp:effectExtent l="0" t="0" r="0" b="0"/>
                      <wp:docPr id="7" name="Рисуно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1295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15.8pt;height:40.7pt;mso-wrap-distance-left:0.0pt;mso-wrap-distance-top:0.0pt;mso-wrap-distance-right:0.0pt;mso-wrap-distance-bottom:0.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/>
          </w:p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Пред - количество выданных предостережений о недопустимости нарушения обязательных требований;</w:t>
            </w:r>
            <w:r>
              <w:rPr>
                <w:highlight w:val="white"/>
              </w:rPr>
            </w:r>
            <w:r/>
          </w:p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position w:val="-9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8760" cy="278130"/>
                      <wp:effectExtent l="0" t="0" r="8890" b="7620"/>
                      <wp:docPr id="8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876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8.8pt;height:21.9pt;mso-wrap-distance-left:0.0pt;mso-wrap-distance-top:0.0pt;mso-wrap-distance-right:0.0pt;mso-wrap-distance-bottom:0.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0"/>
                <w:highlight w:val="white"/>
              </w:rPr>
              <w:t xml:space="preserve"> - количество поступивших сведений о готовящихся нарушениях или признаках нарушений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none"/>
              </w:rPr>
              <w:t xml:space="preserve">50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rPr>
                <w:sz w:val="20"/>
                <w:highlight w:val="whit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2" w:type="dxa"/>
            <w:textDirection w:val="lrTb"/>
            <w:noWrap w:val="false"/>
          </w:tcPr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Повышение степени исполнительности контролируемых лиц/устранение причин и условий выявленных нарушений обязательных требований:</w:t>
            </w:r>
            <w:r>
              <w:rPr>
                <w:highlight w:val="white"/>
              </w:rPr>
            </w:r>
            <w:r/>
          </w:p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position w:val="-24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81175" cy="469265"/>
                      <wp:effectExtent l="0" t="0" r="9525" b="6985"/>
                      <wp:docPr id="9" name="Рисуно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81175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40.2pt;height:36.9pt;mso-wrap-distance-left:0.0pt;mso-wrap-distance-top:0.0pt;mso-wrap-distance-right:0.0pt;mso-wrap-distance-bottom:0.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/>
          </w:p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position w:val="-9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255" cy="278130"/>
                      <wp:effectExtent l="0" t="0" r="4445" b="7620"/>
                      <wp:docPr id="10" name="Рисуно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255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.6pt;height:21.9pt;mso-wrap-distance-left:0.0pt;mso-wrap-distance-top:0.0pt;mso-wrap-distance-right:0.0pt;mso-wrap-distance-bottom:0.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0"/>
                <w:highlight w:val="white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  <w:r>
              <w:rPr>
                <w:highlight w:val="white"/>
              </w:rPr>
            </w:r>
            <w:r/>
          </w:p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position w:val="-9"/>
                <w:sz w:val="20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6890" cy="278130"/>
                      <wp:effectExtent l="0" t="0" r="0" b="7620"/>
                      <wp:docPr id="1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689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40.7pt;height:21.9pt;mso-wrap-distance-left:0.0pt;mso-wrap-distance-top:0.0pt;mso-wrap-distance-right:0.0pt;mso-wrap-distance-bottom:0.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0"/>
                <w:highlight w:val="white"/>
              </w:rPr>
              <w:t xml:space="preserve"> - количество исполненных предостережений о недопустимости нарушения обязательных требований;</w:t>
            </w:r>
            <w:r>
              <w:rPr>
                <w:highlight w:val="white"/>
              </w:rPr>
            </w:r>
            <w:r/>
          </w:p>
          <w:p>
            <w:pPr>
              <w:pStyle w:val="933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N - общее количество выданных предписаний и предостережений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80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</w:tr>
    </w:tbl>
    <w:p>
      <w:pPr>
        <w:ind w:right="-2" w:firstLine="567"/>
        <w:jc w:val="both"/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&lt;**&gt; Целевые показатели подлежат ежегодной актуализации.</w:t>
      </w:r>
      <w:r/>
    </w:p>
    <w:p>
      <w:pPr>
        <w:ind w:right="-2" w:firstLine="567"/>
        <w:jc w:val="both"/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/>
    </w:p>
    <w:p>
      <w:pPr>
        <w:pStyle w:val="925"/>
        <w:ind w:left="0" w:firstLine="0"/>
        <w:jc w:val="center"/>
        <w:spacing w:before="1" w:line="296" w:lineRule="exact"/>
        <w:tabs>
          <w:tab w:val="left" w:pos="1276" w:leader="none"/>
        </w:tabs>
        <w:rPr>
          <w:sz w:val="28"/>
          <w:lang w:val="ru-RU"/>
        </w:rPr>
      </w:pPr>
      <w:r>
        <w:rPr>
          <w:sz w:val="28"/>
          <w:lang w:val="ru-RU"/>
        </w:rPr>
      </w:r>
      <w:r/>
    </w:p>
    <w:p>
      <w:pPr>
        <w:pStyle w:val="925"/>
        <w:ind w:left="0" w:firstLine="0"/>
        <w:jc w:val="center"/>
        <w:spacing w:before="1" w:line="296" w:lineRule="exact"/>
        <w:tabs>
          <w:tab w:val="left" w:pos="1276" w:leader="none"/>
        </w:tabs>
        <w:rPr>
          <w:sz w:val="28"/>
          <w:lang w:val="ru-RU"/>
        </w:rPr>
      </w:pPr>
      <w:r>
        <w:rPr>
          <w:sz w:val="28"/>
        </w:rPr>
        <w:t xml:space="preserve">Раздел 3. </w:t>
      </w:r>
      <w:r>
        <w:rPr>
          <w:sz w:val="28"/>
        </w:rPr>
        <w:t xml:space="preserve">Перечень профилактических мероприятий, сроки (периодичность) их проведения</w:t>
      </w:r>
      <w:r/>
    </w:p>
    <w:p>
      <w:pPr>
        <w:pStyle w:val="935"/>
        <w:ind w:left="851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35"/>
        <w:numPr>
          <w:ilvl w:val="0"/>
          <w:numId w:val="18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Перечень профилактических мероприятий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информирование;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 обобщение правоприменительной практики;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 объявление предостережения;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 консультирование;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 профилактический визит.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риложение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Информирование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>
        <w:rPr>
          <w:rFonts w:hint="eastAsia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46 Федерального закона № 248-ФЗ.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контрольного (надзорного) органа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информационно-телекоммуникационной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Контрольный (надзорный)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размещает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поддерживает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информационно-телекоммуникационной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сети «Интернет» следующую информацию: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государственного контроля (надзора), муниципального контроля – на постоянной основе;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постоянной основе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 перечень нормативных правовых актов с указан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постоянной основе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) руководства по соблюдению обязательных требований, разработанные и утвержденные в 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Федеральным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закон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от 31.07.2020 N 247-ФЗ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«Об обязательных требованиях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постоянной основе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перечень индикаторов риска нарушения обязательных требований, порядок отнесения объектов контроля к категориям риска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постоянной основе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программу профилактики рисков причинения вреда и план проведения плановых контрольных (надзорных) мероприятий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контрольного (надзорного) органа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(при проведении таких мероприятий)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(ежегодно до 20 декабря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контрольным (надзорным) органам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 контролируемого лица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(ежегодно до 01 декабря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сведения о способах получения консультаций по вопросам соблюдения обязательных требований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(ежегодно до 01 декабря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9) сведения о порядке досудебного обжалования решений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контрольного (надзорного) органа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действий (бездействия) его должностных лиц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(ежегодно до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01 декабря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10)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доклады, содержащие результаты обобщения правоприменительной практики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контрольного (надзорного) органа - ежегодно, до 1 июля года, следующего за годом обобщения правоприменительной практики;</w:t>
      </w:r>
      <w:r>
        <w:rPr>
          <w:highlight w:val="white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11)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доклады о государственном контроле (надзоре), муниципальном контроле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ежегодно, не позднее 30 января года, следующего за годом обобщения правоприменительной практики. </w:t>
      </w:r>
      <w:r>
        <w:rPr>
          <w:highlight w:val="white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935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Обобщение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935"/>
        <w:ind w:left="0"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Обобщение правоприменительной практики проводится в соответствии со ст.</w:t>
      </w:r>
      <w:r>
        <w:rPr>
          <w:rFonts w:hint="eastAsia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47 Федерального закона № 248-ФЗ.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935"/>
        <w:ind w:left="0"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администрация городского округа Серебряные Пруды Московской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обеспечивает подготовку доклада, содержащего результаты обобщения правоприменительной практи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ки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администрации городского округа Серебряные Пруды Московской области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935"/>
        <w:ind w:left="0"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Ежегодно</w:t>
      </w:r>
      <w:r>
        <w:rPr>
          <w:rFonts w:ascii="Times New Roman" w:hAnsi="Times New Roman"/>
          <w:sz w:val="28"/>
          <w:szCs w:val="28"/>
        </w:rPr>
        <w:t xml:space="preserve"> не позднее 1 июля года, следующего за годом обобщения правоприменительной практики, п</w:t>
      </w:r>
      <w:r>
        <w:rPr>
          <w:rFonts w:ascii="Times New Roman" w:hAnsi="Times New Roman" w:cs="Times New Roman"/>
          <w:sz w:val="28"/>
          <w:szCs w:val="28"/>
        </w:rPr>
        <w:t xml:space="preserve">о итогам обобщения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готовит доклад, содержащий результаты обобщения правоприменительной практики по осуществлению муниципального контроля, который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контрольного органа.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70c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Объявление предостережения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Объявление предостережения проводится в соответствии со ст. 49 Федерального закона № 248-ФЗ.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5"/>
        <w:ind w:left="0"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Орган муниципального жилищного контроля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Срок (периодичность) проведения данного мероприятия: постоянно.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Консультирование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Консультирование проводится в соответствии со ст. 50 Федерального закона № 248-ФЗ.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Консультирование осуществляется следующими способами: </w:t>
      </w:r>
      <w:r>
        <w:rPr>
          <w:rFonts w:ascii="Times New Roman" w:hAnsi="Times New Roman" w:cs="Times New Roman"/>
          <w:sz w:val="28"/>
          <w:szCs w:val="28"/>
        </w:rPr>
        <w:t xml:space="preserve">в устной или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Консультирование проводится по следующим вопросам: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highlight w:val="white"/>
        </w:rPr>
      </w:r>
      <w:r/>
    </w:p>
    <w:p>
      <w:pPr>
        <w:pStyle w:val="935"/>
        <w:numPr>
          <w:ilvl w:val="0"/>
          <w:numId w:val="22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организация и осуществление муниципального жилищного контроля;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r>
      <w:r/>
    </w:p>
    <w:p>
      <w:pPr>
        <w:pStyle w:val="935"/>
        <w:numPr>
          <w:ilvl w:val="0"/>
          <w:numId w:val="22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порядок осуществления мероприятий муниципального жилищного контроля;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935"/>
        <w:numPr>
          <w:ilvl w:val="0"/>
          <w:numId w:val="22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порядок обжалования действий (бездействия) должностных лиц органа муниципального жилищного контроля;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935"/>
        <w:numPr>
          <w:ilvl w:val="0"/>
          <w:numId w:val="22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получение информации о нормативно-правовых актах (их отдельных положениях), содержащих обязательные требования, оценка соблюдения которых осуществляется в рамках муниципального жилищного контроля.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935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935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Профилактический визит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Профилактический визит проводится в соответствии со ст. 52 Федерального закона № 248-ФЗ.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зательный профилактический визит проводится в отношении контролируемых лиц, приступающих к осуществлению деятельности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сфере управления многоквартирными домами, а также в отношении объектов контроля, отнесенных к категориям чрезвычайно высокого, высокого и значительного риска.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течение года по необходимости.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pStyle w:val="935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Контролируемое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вправе обратиться в контрольный (надз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орный) орган с заявлением о проведении в отношении его профилактического визита (далее – заявление контролируемого лица), которое рассматривается контрольным (надзорным) органом в порядке, установленном частями 11-13 статьи 52 Федерального закона № 248-ФЗ.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ind w:left="0" w:firstLine="0"/>
        <w:jc w:val="center"/>
        <w:spacing w:line="29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25"/>
        <w:ind w:left="0" w:firstLine="0"/>
        <w:jc w:val="center"/>
        <w:spacing w:line="295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1080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  <w:lang w:val="ru-RU" w:eastAsia="ru-RU" w:bidi="ar-SA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рограммы профилактики оценивается: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повышением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эффективности системы профилактики нарушений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2)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повышением уровня правовой грамотности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ходе проверки;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3)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уемыми лицами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 своей деятельности;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4) 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контролируемых лиц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 и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администрации городского округа Серебряные Пруды Московской области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;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5) вовлечением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регулярное взаимодействие с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администрацией городского округа Серебряные Пруды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  <w:lang w:val="ru-RU" w:eastAsia="ru-RU" w:bidi="ar-SA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  <w:lang w:val="ru-RU" w:eastAsia="ru-RU" w:bidi="ar-SA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Ключевыми направлениями социологических исследований являются: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об обязательных требованиях, о принятых и готовящихся изменениях в си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ходе проверки;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администрации городского округа Серебряные Пруды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3) вовлечение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контролируемых лиц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регулярное взаимодействие с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 xml:space="preserve">администрацией городского округа Серебряные Пруды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  <w:lang w:val="ru-RU" w:eastAsia="ru-RU" w:bidi="ar-SA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Оценка эффективности реализации Программы профилактики рассчитывается ежегодно (по итогам календарного года).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Отклонение фактического значения показателя от планового значения показателя профилактических мероприятий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32535" cy="516890"/>
                <wp:effectExtent l="0" t="0" r="5715" b="0"/>
                <wp:docPr id="12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23253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97.0pt;height:40.7pt;mso-wrap-distance-left:0.0pt;mso-wrap-distance-top:0.0pt;mso-wrap-distance-right:0.0pt;mso-wrap-distance-bottom:0.0pt;" stroked="f">
                <v:path textboxrect="0,0,0,0"/>
                <v:imagedata r:id="rId27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i - номер показателя;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отклонение фактического значения i-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i-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показателя;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фактическое значение i-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плановое значение i-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показател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я профилактических мероприятий.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32535" cy="516890"/>
                <wp:effectExtent l="0" t="0" r="5715" b="0"/>
                <wp:docPr id="1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23253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97.0pt;height:40.7pt;mso-wrap-distance-left:0.0pt;mso-wrap-distance-top:0.0pt;mso-wrap-distance-right:0.0pt;mso-wrap-distance-bottom:0.0pt;" stroked="f">
                <v:path textboxrect="0,0,0,0"/>
                <v:imagedata r:id="rId27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 </w:t>
      </w:r>
      <w:r>
        <w:rPr>
          <w:rFonts w:ascii="Times New Roman" w:hAnsi="Times New Roman" w:cs="Times New Roman"/>
          <w:position w:val="-9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3895" cy="278130"/>
                <wp:effectExtent l="0" t="0" r="1905" b="7620"/>
                <wp:docPr id="14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68389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53.8pt;height:21.9pt;mso-wrap-distance-left:0.0pt;mso-wrap-distance-top:0.0pt;mso-wrap-distance-right:0.0pt;mso-wrap-distance-bottom:0.0pt;" stroked="f">
                <v:path textboxrect="0,0,0,0"/>
                <v:imagedata r:id="rId2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то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position w:val="-9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6770" cy="278130"/>
                <wp:effectExtent l="0" t="0" r="0" b="7620"/>
                <wp:docPr id="1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82677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65.1pt;height:21.9pt;mso-wrap-distance-left:0.0pt;mso-wrap-distance-top:0.0pt;mso-wrap-distance-right:0.0pt;mso-wrap-distance-bottom:0.0pt;" stroked="f">
                <v:path textboxrect="0,0,0,0"/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Оценка эффективности реализации Программы профилактики рассчитывается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09650" cy="516890"/>
                <wp:effectExtent l="0" t="0" r="0" b="0"/>
                <wp:docPr id="16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100965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79.5pt;height:40.7pt;mso-wrap-distance-left:0.0pt;mso-wrap-distance-top:0.0pt;mso-wrap-distance-right:0.0pt;mso-wrap-distance-bottom:0.0pt;" stroked="f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где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Пэф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5135" cy="309880"/>
                <wp:effectExtent l="0" t="0" r="0" b="0"/>
                <wp:docPr id="17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44513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35.0pt;height:24.4pt;mso-wrap-distance-left:0.0pt;mso-wrap-distance-top:0.0pt;mso-wrap-distance-right:0.0pt;mso-wrap-distance-bottom:0.0pt;" stroked="f">
                <v:path textboxrect="0,0,0,0"/>
                <v:imagedata r:id="rId31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сумма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отклонений фактических значений показателей Программы профилактики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от плановых значений по итогам календарного года;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N - общее количество показателей Программы профилактики.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случае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если оценка эффективности реализации Программы профилактики более 100 %, то считать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Пэф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равным 100 %.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оценки эффективности реализации Программы профилактики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определяется уровень профилактической работы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контрольного (надзорного) органа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firstLine="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92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рограммы профилактики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50%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/>
              <w:t xml:space="preserve">от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5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1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80%</w:t>
            </w:r>
            <w:r>
              <w:rPr>
                <w:rFonts w:ascii="Times New Roman" w:hAnsi="Times New Roman"/>
              </w:rPr>
              <w:t xml:space="preserve"> профилактических мероприятий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81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9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/>
              <w:t xml:space="preserve">от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91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100%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Уровень результативности профилактической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работы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ru-RU" w:eastAsia="ru-RU" w:bidi="ar-SA"/>
              </w:rPr>
              <w:t xml:space="preserve">администрации городского округа Серебряные Пруды Московской области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Недопустимый уровень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Низкий уровень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Плановый уровень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лидерства</w:t>
            </w:r>
            <w:r/>
          </w:p>
        </w:tc>
      </w:tr>
    </w:tbl>
    <w:p>
      <w:pPr>
        <w:pStyle w:val="944"/>
        <w:ind w:left="0" w:firstLine="567"/>
        <w:jc w:val="left"/>
        <w:rPr>
          <w:i/>
          <w:sz w:val="25"/>
        </w:rPr>
      </w:pPr>
      <w:r>
        <w:rPr>
          <w:i/>
          <w:sz w:val="25"/>
        </w:rPr>
      </w:r>
      <w:r/>
    </w:p>
    <w:p>
      <w:pPr>
        <w:pStyle w:val="925"/>
        <w:ind w:left="0" w:firstLine="567"/>
        <w:spacing w:line="296" w:lineRule="exact"/>
        <w:rPr>
          <w:sz w:val="28"/>
        </w:rPr>
        <w:sectPr>
          <w:headerReference w:type="default" r:id="rId10"/>
          <w:footerReference w:type="default" r:id="rId14"/>
          <w:footnotePr/>
          <w:endnotePr/>
          <w:type w:val="nextPage"/>
          <w:pgSz w:w="11906" w:h="16838" w:orient="portrait"/>
          <w:pgMar w:top="1134" w:right="567" w:bottom="1276" w:left="1418" w:header="709" w:footer="709" w:gutter="0"/>
          <w:pgNumType w:start="3"/>
          <w:cols w:num="1" w:sep="0" w:space="708" w:equalWidth="1"/>
          <w:docGrid w:linePitch="360"/>
          <w:titlePg/>
        </w:sectPr>
      </w:pPr>
      <w:r>
        <w:rPr>
          <w:sz w:val="28"/>
        </w:rPr>
      </w:r>
      <w:r/>
    </w:p>
    <w:p>
      <w:pPr>
        <w:jc w:val="right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</w:t>
      </w:r>
      <w:r>
        <w:rPr>
          <w:rFonts w:ascii="Times New Roman" w:hAnsi="Times New Roman"/>
          <w:sz w:val="26"/>
          <w:szCs w:val="26"/>
        </w:rPr>
        <w:t xml:space="preserve"> 1</w:t>
      </w:r>
      <w:r/>
    </w:p>
    <w:p>
      <w:pPr>
        <w:jc w:val="right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План-график</w:t>
      </w:r>
      <w:r/>
    </w:p>
    <w:p>
      <w:pPr>
        <w:jc w:val="center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проведения</w:t>
      </w:r>
      <w:r>
        <w:rPr>
          <w:rFonts w:ascii="Times New Roman" w:hAnsi="Times New Roman"/>
          <w:sz w:val="26"/>
          <w:szCs w:val="26"/>
        </w:rPr>
        <w:t xml:space="preserve"> профилактических меропр</w:t>
      </w:r>
      <w:r>
        <w:rPr>
          <w:rFonts w:ascii="Times New Roman" w:hAnsi="Times New Roman"/>
          <w:sz w:val="26"/>
          <w:szCs w:val="26"/>
        </w:rPr>
        <w:t xml:space="preserve">иятий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ru-RU" w:eastAsia="ru-RU" w:bidi="ar-SA"/>
        </w:rPr>
        <w:t xml:space="preserve">отдела по жилищным вопросам администрации городского округа Серебряные Пруды Московской области</w:t>
      </w:r>
      <w:r>
        <w:rPr>
          <w:rFonts w:ascii="Times New Roman" w:hAnsi="Times New Roman"/>
          <w:sz w:val="26"/>
          <w:szCs w:val="26"/>
        </w:rPr>
        <w:t xml:space="preserve">, напр</w:t>
      </w:r>
      <w:r>
        <w:rPr>
          <w:rFonts w:ascii="Times New Roman" w:hAnsi="Times New Roman"/>
          <w:sz w:val="26"/>
          <w:szCs w:val="26"/>
        </w:rPr>
        <w:t xml:space="preserve">авленных на предупреждение нарушений обязательных требований и предотвращение рисков причинения в</w:t>
      </w:r>
      <w:r>
        <w:rPr>
          <w:rFonts w:ascii="Times New Roman" w:hAnsi="Times New Roman"/>
          <w:color w:val="auto"/>
          <w:sz w:val="26"/>
          <w:szCs w:val="26"/>
        </w:rPr>
        <w:t xml:space="preserve">реда </w:t>
      </w:r>
      <w:r>
        <w:rPr>
          <w:rFonts w:ascii="Times New Roman" w:hAnsi="Times New Roman"/>
          <w:color w:val="auto"/>
          <w:sz w:val="26"/>
          <w:szCs w:val="26"/>
        </w:rPr>
        <w:t xml:space="preserve">(ущерба)</w:t>
      </w:r>
      <w:r>
        <w:rPr>
          <w:rFonts w:ascii="Times New Roman" w:hAnsi="Times New Roman"/>
          <w:color w:val="auto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храняемым законом ценностям в сфере муниципального жилищного контроля</w:t>
      </w:r>
      <w:r>
        <w:rPr>
          <w:rFonts w:ascii="Times New Roman" w:hAnsi="Times New Roman"/>
          <w:sz w:val="26"/>
          <w:szCs w:val="26"/>
        </w:rPr>
        <w:t xml:space="preserve"> на 202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 год</w:t>
      </w:r>
      <w:r/>
    </w:p>
    <w:p>
      <w:pPr>
        <w:jc w:val="right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tbl>
      <w:tblPr>
        <w:tblW w:w="16010" w:type="dxa"/>
        <w:tblInd w:w="-55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№ п/п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Мероприятие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vAlign w:val="center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Содержание мероприятия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39" w:type="dxa"/>
            <w:vAlign w:val="center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Сроки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Результат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Субъект профилактического мероприятия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1.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Информирование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Актуализация и </w:t>
            </w:r>
            <w:r>
              <w:rPr>
                <w:rFonts w:ascii="Times New Roman" w:hAnsi="Times New Roman" w:eastAsia="Times New Roman"/>
                <w:color w:val="000000"/>
                <w:sz w:val="20"/>
                <w:highlight w:val="white"/>
              </w:rPr>
              <w:t xml:space="preserve">размещение на официальном сайте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  <w:highlight w:val="white"/>
              </w:rPr>
              <w:t xml:space="preserve">администрации городского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color w:val="000000"/>
                <w:sz w:val="20"/>
                <w:highlight w:val="white"/>
              </w:rPr>
              <w:t xml:space="preserve"> в разделе «Муниципальный контроль»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60"/>
              <w:spacing w:before="100" w:after="100" w:line="240" w:lineRule="auto"/>
              <w:rPr>
                <w:rFonts w:ascii="Verdana" w:hAnsi="Verdana" w:cs="Segoe UI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По мере принятия или внесения изменений 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Советующий раздел на сайте Комитета содержит актуальную информацию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2.</w:t>
            </w:r>
            <w:r/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администрации городского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  <w:t xml:space="preserve">в разделе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  <w:t xml:space="preserve">«Муниципальный контроль»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  <w:t xml:space="preserve">.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highlight w:val="none"/>
              </w:rPr>
              <w:t xml:space="preserve">До 1 июля ежегодно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Предупреждение нарушений обязательных требований законодательства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3.</w:t>
            </w:r>
            <w:r/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Информирование 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путем подготовки и размещения на официальном сайте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  <w:highlight w:val="white"/>
              </w:rPr>
              <w:t xml:space="preserve">администрации городского округа Серебряные Пруды Моско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  <w:highlight w:val="white"/>
              </w:rPr>
              <w:t xml:space="preserve">вской области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 в разделе </w:t>
            </w:r>
            <w:r>
              <w:rPr>
                <w:rFonts w:ascii="Times New Roman" w:hAnsi="Times New Roman" w:eastAsia="Times New Roman"/>
                <w:color w:val="000000"/>
                <w:sz w:val="20"/>
                <w:highlight w:val="white"/>
              </w:rPr>
              <w:t xml:space="preserve">«Муниципальный контроль»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По мере опубликования на официальных сайтах федеральных органов власти в соответствующей сфере деятельности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контролируемых лиц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4.</w:t>
            </w:r>
            <w:r/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Размещение на официальном сайте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  <w:highlight w:val="white"/>
              </w:rPr>
              <w:t xml:space="preserve">администрации городского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и актуализация проверочных листов (по содержанию и технически) в соответствии с действующим законодательством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</w:rPr>
              <w:t xml:space="preserve">По мере внесения изменений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Устранение условий и факторов, способ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ствующих нарушению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обязательных требований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5.</w:t>
            </w:r>
            <w:r/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b/>
                <w:bCs w:val="0"/>
                <w:i w:val="0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Актуализация информации о поряд</w:t>
            </w: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ке и сроках осуществления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администрацией городского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муниципального контроля</w:t>
            </w: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 и размещение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на официальном сайте в разделе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«Муниципальный контроль»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результатов контрольно-надзорных мероприятий </w:t>
            </w:r>
            <w:r>
              <w:rPr>
                <w:i w:val="0"/>
                <w:iCs w:val="0"/>
                <w:color w:val="000000" w:themeColor="text1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bCs w:val="0"/>
                <w:i w:val="0"/>
                <w:color w:val="000000" w:themeColor="text1"/>
                <w:sz w:val="20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</w:rPr>
              <w:t xml:space="preserve">Постоянно</w:t>
            </w:r>
            <w:r>
              <w:rPr>
                <w:i w:val="0"/>
                <w:iCs w:val="0"/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прозрачности системы контрольно-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надзорной деятельности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6.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бобщение правоприменительной практики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 w:val="0"/>
                <w:i w:val="0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Формирование и размещение на официальном сайте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администрации городского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Перечня типичных нарушений обязательных требований, установленных правовыми актами в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подконтрольной сфере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, выявленных в результате анализа и обобщения правоприменительной практики контрольно-надзорной деятельности </w:t>
            </w:r>
            <w:bookmarkStart w:id="5" w:name="_GoBack"/>
            <w:r>
              <w:rPr>
                <w:i w:val="0"/>
                <w:iCs w:val="0"/>
                <w:color w:val="000000" w:themeColor="text1"/>
                <w:highlight w:val="white"/>
              </w:rPr>
            </w:r>
            <w:bookmarkEnd w:id="5"/>
            <w:r>
              <w:rPr>
                <w:i w:val="0"/>
                <w:iCs w:val="0"/>
                <w:color w:val="000000" w:themeColor="text1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bCs w:val="0"/>
                <w:i w:val="0"/>
                <w:color w:val="000000" w:themeColor="text1"/>
                <w:sz w:val="20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</w:rPr>
              <w:t xml:space="preserve">До 1 июля ежегодно</w:t>
            </w:r>
            <w:r>
              <w:rPr>
                <w:i w:val="0"/>
                <w:iCs w:val="0"/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Размещение на официальном сайте Комитета обзора правоприменительной практики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6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Выдача предостережений о недопустимости нарушений обязательных требований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Направление юридическим лицам, индивидуальным предпринимателям и физическим лицам предостережений о недопустимости нарушений обязательных требований в </w:t>
            </w:r>
            <w:r>
              <w:rPr>
                <w:rFonts w:ascii="Times New Roman" w:hAnsi="Times New Roman" w:eastAsia="Times New Roman"/>
                <w:sz w:val="20"/>
              </w:rPr>
              <w:t xml:space="preserve">подконтрольной сфере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60"/>
              <w:spacing w:before="100" w:after="100" w:line="240" w:lineRule="auto"/>
              <w:rPr>
                <w:rFonts w:ascii="Verdana" w:hAnsi="Verdana" w:cs="Segoe UI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По мере получения сведений о признаках нарушений 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инимизация возможных рисков нар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ушений обязательных требований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8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</w:t>
            </w:r>
            <w:r>
              <w:rPr>
                <w:rFonts w:ascii="Times New Roman" w:hAnsi="Times New Roman"/>
                <w:sz w:val="20"/>
              </w:rPr>
              <w:t xml:space="preserve">онсультация по вопросам соблюдения обязательных требований 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Verdana" w:hAnsi="Verdana" w:cs="Segoe UI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</w:rPr>
              <w:t xml:space="preserve">консультаций </w:t>
            </w:r>
            <w:r>
              <w:rPr>
                <w:rFonts w:ascii="Times New Roman" w:hAnsi="Times New Roman"/>
                <w:sz w:val="20"/>
              </w:rPr>
              <w:t xml:space="preserve">контролируемых лиц</w:t>
            </w:r>
            <w:r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По мере поступления от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контролируемых лиц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соответствующих обращений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контролируемых лиц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9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highlight w:val="white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color w:val="auto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highlight w:val="white"/>
              </w:rPr>
              <w:t xml:space="preserve">По мере необходимости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населения в подконтрольной сфере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bCs w:val="0"/>
                <w:i w:val="0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Информирование юридических лиц и индивидуальных предпринимателей по вопросам соблюдения обяз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ательных требований на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семинар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ах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(вебинарах)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.</w:t>
            </w:r>
            <w:r>
              <w:rPr>
                <w:i w:val="0"/>
                <w:iCs w:val="0"/>
                <w:color w:val="000000" w:themeColor="text1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Не реже 1 раза в год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bCs w:val="0"/>
                <w:i w:val="0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</w:r>
            <w:r>
              <w:rPr>
                <w:i w:val="0"/>
                <w:iCs w:val="0"/>
                <w:color w:val="000000" w:themeColor="text1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контролируемых лиц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  <w:t xml:space="preserve">.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>
          <w:trHeight w:val="93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bCs w:val="0"/>
                <w:i w:val="0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Проведение разъяснительн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ой работы относительно контрольных надзорных мероприятий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в части предоставления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контролируемым лицам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 информации об их правах и обязанностях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 w:themeColor="text1"/>
                <w:sz w:val="20"/>
                <w:highlight w:val="white"/>
              </w:rPr>
              <w:t xml:space="preserve">при проведении контрольно-надзорных мероприятий</w:t>
            </w:r>
            <w:r>
              <w:rPr>
                <w:i w:val="0"/>
                <w:iCs w:val="0"/>
                <w:color w:val="000000" w:themeColor="text1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60"/>
              <w:spacing w:after="0" w:line="240" w:lineRule="auto"/>
              <w:rPr>
                <w:rFonts w:ascii="Times New Roman" w:hAnsi="Times New Roman"/>
                <w:bCs w:val="0"/>
                <w:i w:val="0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/>
                <w:bCs w:val="0"/>
                <w:i w:val="0"/>
                <w:color w:val="000000" w:themeColor="text1"/>
                <w:sz w:val="20"/>
                <w:highlight w:val="none"/>
              </w:rPr>
              <w:t xml:space="preserve">По мере необходимости </w:t>
            </w:r>
            <w:r>
              <w:rPr>
                <w:i w:val="0"/>
                <w:iCs w:val="0"/>
                <w:color w:val="000000" w:themeColor="text1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контролируемых лиц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>
          <w:trHeight w:val="7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12.</w:t>
            </w:r>
            <w:r/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Проведение п</w:t>
            </w:r>
            <w:r>
              <w:rPr>
                <w:rFonts w:ascii="Times New Roman" w:hAnsi="Times New Roman" w:eastAsia="Times New Roman"/>
                <w:sz w:val="20"/>
              </w:rPr>
              <w:t xml:space="preserve">рофилактически</w:t>
            </w:r>
            <w:r>
              <w:rPr>
                <w:rFonts w:ascii="Times New Roman" w:hAnsi="Times New Roman" w:eastAsia="Times New Roman"/>
                <w:sz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</w:rPr>
              <w:t xml:space="preserve"> визит</w:t>
            </w:r>
            <w:r>
              <w:rPr>
                <w:rFonts w:ascii="Times New Roman" w:hAnsi="Times New Roman" w:eastAsia="Times New Roman"/>
                <w:sz w:val="20"/>
              </w:rPr>
              <w:t xml:space="preserve">ов (обязательных профилактических визитов)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Проведение обязательных профилактических визитов </w:t>
            </w:r>
            <w:r>
              <w:rPr>
                <w:rFonts w:ascii="Times New Roman" w:hAnsi="Times New Roman" w:eastAsia="Times New Roman"/>
                <w:sz w:val="20"/>
              </w:rPr>
              <w:t xml:space="preserve">в отношении контролируемых лиц, отнесенных к категориям высокого риска, в том числе,</w:t>
            </w:r>
            <w:r>
              <w:rPr>
                <w:rFonts w:ascii="Times New Roman" w:hAnsi="Times New Roman" w:eastAsia="Times New Roman"/>
                <w:sz w:val="20"/>
              </w:rPr>
              <w:t xml:space="preserve"> приступающих к осуществлению деятельности в сфере управления многоквартирными домами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60"/>
              <w:spacing w:after="0" w:line="240" w:lineRule="auto"/>
              <w:rPr>
                <w:rFonts w:ascii="Times New Roman" w:hAnsi="Times New Roman"/>
                <w:bCs w:val="0"/>
                <w:i w:val="0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</w:rPr>
            </w:r>
            <w:r>
              <w:rPr>
                <w:rFonts w:ascii="Times New Roman" w:hAnsi="Times New Roman" w:eastAsia="Times New Roman"/>
                <w:sz w:val="20"/>
              </w:rPr>
              <w:t xml:space="preserve">Не позднее, чем в течение одного года с момента начала такой деятельности (при наличии сведений о начале деятельности)</w:t>
            </w: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left"/>
              <w:spacing w:before="67" w:after="67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highlight w:val="none"/>
                <w:lang w:eastAsia="ru-RU"/>
              </w:rPr>
            </w:r>
            <w:r/>
          </w:p>
          <w:p>
            <w:pPr>
              <w:jc w:val="left"/>
              <w:spacing w:before="67" w:after="67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highlight w:val="none"/>
                <w:lang w:eastAsia="ru-RU"/>
              </w:rPr>
            </w:r>
            <w:r/>
          </w:p>
          <w:p>
            <w:pPr>
              <w:jc w:val="left"/>
              <w:spacing w:before="67" w:after="67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и информирование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контролируемых лиц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highlight w:val="none"/>
              </w:rPr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highlight w:val="none"/>
              </w:rPr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>
          <w:trHeight w:val="7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vMerge w:val="restart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Инициативный профилактический визит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По мере поступления от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контролируемых лиц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соответствующих обращений</w:t>
            </w: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</w:rPr>
              <w:t xml:space="preserve">3. 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квалификации кадрового </w:t>
            </w:r>
            <w:r>
              <w:rPr>
                <w:rFonts w:ascii="Times New Roman" w:hAnsi="Times New Roman"/>
                <w:sz w:val="20"/>
              </w:rPr>
              <w:t xml:space="preserve">состава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администрации городского округа Серебряные Пруды Московской области</w:t>
            </w: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органа муниципального жилищного контроля 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по соблюдению обязательных требований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жегодно, не позднее 30 января года, следующего за годом обобщения правоприменительной практики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  <w:highlight w:val="yellow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квалификации должностных лиц, </w:t>
            </w:r>
            <w:r>
              <w:rPr>
                <w:rFonts w:ascii="Times New Roman" w:hAnsi="Times New Roman"/>
                <w:sz w:val="20"/>
              </w:rPr>
              <w:t xml:space="preserve">уполномоченных на осуществление госу</w:t>
            </w:r>
            <w:r>
              <w:rPr>
                <w:rFonts w:ascii="Times New Roman" w:hAnsi="Times New Roman"/>
                <w:sz w:val="20"/>
              </w:rPr>
              <w:t xml:space="preserve">дарственного контроля (надзора)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Должностные лица </w:t>
            </w:r>
            <w:r>
              <w:rPr>
                <w:rFonts w:ascii="Times New Roman" w:hAnsi="Times New Roman" w:eastAsia="Times New Roman"/>
                <w:sz w:val="20"/>
              </w:rPr>
              <w:br/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администрации городского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14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/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начальником отдела по жилищным вопросам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администрации городского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</w:t>
            </w:r>
            <w:r>
              <w:rPr>
                <w:rFonts w:ascii="Times New Roman" w:hAnsi="Times New Roman"/>
                <w:sz w:val="20"/>
              </w:rPr>
              <w:t xml:space="preserve">должностных лиц</w:t>
            </w:r>
            <w:r>
              <w:rPr>
                <w:rFonts w:ascii="Times New Roman" w:hAnsi="Times New Roman"/>
                <w:sz w:val="20"/>
              </w:rPr>
              <w:t xml:space="preserve">, уполномоченных на осуществление государственного контроля (надзора).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60"/>
              <w:spacing w:before="100" w:after="100" w:line="240" w:lineRule="auto"/>
              <w:rPr>
                <w:rFonts w:ascii="Verdana" w:hAnsi="Verdana" w:cs="Segoe UI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highlight w:val="white"/>
              </w:rPr>
              <w:t xml:space="preserve">Ежеквартально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овышение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квалификации должностных лиц, </w:t>
            </w:r>
            <w:r>
              <w:rPr>
                <w:rFonts w:ascii="Times New Roman" w:hAnsi="Times New Roman"/>
                <w:sz w:val="20"/>
              </w:rPr>
              <w:t xml:space="preserve">уполномоченных на осуществление госу</w:t>
            </w:r>
            <w:r>
              <w:rPr>
                <w:rFonts w:ascii="Times New Roman" w:hAnsi="Times New Roman"/>
                <w:sz w:val="20"/>
              </w:rPr>
              <w:t xml:space="preserve">дарственного контроля (надзора)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Должностные лица </w:t>
            </w:r>
            <w:r>
              <w:rPr>
                <w:rFonts w:ascii="Times New Roman" w:hAnsi="Times New Roman" w:eastAsia="Times New Roman"/>
                <w:sz w:val="20"/>
              </w:rPr>
              <w:br/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администрации городского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15.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Иное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Разработка и актуализация методических рекомендаций для </w:t>
            </w:r>
            <w:r>
              <w:rPr>
                <w:rFonts w:ascii="Times New Roman" w:hAnsi="Times New Roman" w:eastAsia="Times New Roman"/>
                <w:sz w:val="20"/>
              </w:rPr>
              <w:t xml:space="preserve">контролируемых лиц</w:t>
            </w:r>
            <w:r>
              <w:rPr>
                <w:rFonts w:ascii="Times New Roman" w:hAnsi="Times New Roman" w:eastAsia="Times New Roman"/>
                <w:sz w:val="20"/>
              </w:rPr>
              <w:t xml:space="preserve">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  <w:r>
              <w:rPr>
                <w:rFonts w:ascii="Times New Roman" w:hAnsi="Times New Roman" w:eastAsia="Times New Roman"/>
                <w:sz w:val="20"/>
              </w:rPr>
              <w:br/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администрации городского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i/>
                <w:color w:val="0070c0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b w:val="0"/>
                <w:bCs w:val="0"/>
                <w:i w:val="0"/>
                <w:color w:val="000000" w:themeColor="text1"/>
                <w:sz w:val="20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 w:themeColor="text1"/>
                <w:sz w:val="20"/>
              </w:rPr>
              <w:t xml:space="preserve">По мере поступления вопросов</w:t>
            </w:r>
            <w:r>
              <w:rPr>
                <w:b w:val="0"/>
                <w:bCs w:val="0"/>
                <w:i w:val="0"/>
                <w:iCs w:val="0"/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Снижение административной нагрузки на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16.</w:t>
            </w:r>
            <w:r/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60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Представление информации в публичном пространстве 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ind w:left="60" w:right="60"/>
              <w:spacing w:before="100" w:after="100" w:line="240" w:lineRule="auto"/>
              <w:rPr>
                <w:rFonts w:ascii="Verdana" w:hAnsi="Verdana" w:cs="Segoe UI"/>
                <w:color w:val="000000" w:themeColor="text1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На постоянной основе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Создание страниц в социальных сетях</w:t>
            </w:r>
            <w:r>
              <w:rPr>
                <w:rFonts w:ascii="Times New Roman" w:hAnsi="Times New Roman" w:eastAsia="Times New Roman"/>
                <w:sz w:val="20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</w:rPr>
              <w:t xml:space="preserve"> Коммуникаци</w:t>
            </w:r>
            <w:r>
              <w:rPr>
                <w:rFonts w:ascii="Times New Roman" w:hAnsi="Times New Roman" w:eastAsia="Times New Roman"/>
                <w:sz w:val="20"/>
              </w:rPr>
              <w:t xml:space="preserve">и</w:t>
            </w:r>
            <w:r>
              <w:rPr>
                <w:rFonts w:ascii="Times New Roman" w:hAnsi="Times New Roman" w:eastAsia="Times New Roman"/>
                <w:sz w:val="20"/>
              </w:rPr>
              <w:t xml:space="preserve"> с неограниченным кругом лиц по вопросам контрольной деятельности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администрации городского округа Серебряные Пруды Московской области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Заместитель начальника территориального управления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0"/>
              </w:rPr>
              <w:t xml:space="preserve">-начальник отдела по жилищным вопросам – Пушкарева О.А.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</w:tbl>
    <w:p>
      <w:pPr>
        <w:tabs>
          <w:tab w:val="left" w:pos="9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tabs>
          <w:tab w:val="left" w:pos="9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headerReference w:type="default" r:id="rId11"/>
      <w:footnotePr/>
      <w:endnotePr/>
      <w:type w:val="nextPage"/>
      <w:pgSz w:w="16838" w:h="11906" w:orient="landscape"/>
      <w:pgMar w:top="284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Verdana">
    <w:panose1 w:val="020B060403050404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center"/>
    </w:pPr>
    <w:r/>
    <w:r/>
  </w:p>
  <w:p>
    <w:pPr>
      <w:pStyle w:val="93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ind w:right="907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center"/>
    </w:pPr>
    <w:r/>
    <w:r/>
  </w:p>
  <w:p>
    <w:pPr>
      <w:pStyle w:val="9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ind w:firstLine="426"/>
      <w:jc w:val="center"/>
      <w:tabs>
        <w:tab w:val="clear" w:pos="9355" w:leader="none"/>
        <w:tab w:val="right" w:pos="9498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ind w:left="0" w:firstLine="0"/>
      <w:jc w:val="left"/>
      <w:spacing w:line="14" w:lineRule="auto"/>
      <w:rPr>
        <w:sz w:val="20"/>
      </w:rPr>
    </w:pPr>
    <w:r>
      <w:rPr>
        <w:sz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hint="default" w:ascii="Courier New" w:hAnsi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hint="default" w:ascii="Courier New" w:hAnsi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7" w:hanging="380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88"/>
      </w:pPr>
      <w:rPr>
        <w:rFonts w:hint="default" w:ascii="Times New Roman" w:hAnsi="Times New Roman" w:eastAsia="Times New Roman" w:cs="Times New Roman"/>
        <w:spacing w:val="-4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31"/>
      </w:pPr>
      <w:rPr>
        <w:rFonts w:hint="default" w:ascii="Times New Roman" w:hAnsi="Times New Roman" w:eastAsia="Times New Roman" w:cs="Times New Roman"/>
        <w:spacing w:val="-30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322"/>
      </w:pPr>
      <w:rPr>
        <w:rFonts w:hint="default" w:ascii="Times New Roman" w:hAnsi="Times New Roman" w:eastAsia="Times New Roman" w:cs="Times New Roman"/>
        <w:spacing w:val="-19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26"/>
      </w:pPr>
      <w:rPr>
        <w:rFonts w:hint="default" w:ascii="Times New Roman" w:hAnsi="Times New Roman" w:eastAsia="Times New Roman" w:cs="Times New Roman"/>
        <w:spacing w:val="-23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5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4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7"/>
  </w:num>
  <w:num w:numId="13">
    <w:abstractNumId w:val="14"/>
  </w:num>
  <w:num w:numId="14">
    <w:abstractNumId w:val="15"/>
  </w:num>
  <w:num w:numId="15">
    <w:abstractNumId w:val="5"/>
  </w:num>
  <w:num w:numId="16">
    <w:abstractNumId w:val="8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927"/>
    <w:link w:val="923"/>
    <w:uiPriority w:val="9"/>
    <w:rPr>
      <w:rFonts w:ascii="Arial" w:hAnsi="Arial" w:eastAsia="Arial" w:cs="Arial"/>
      <w:sz w:val="40"/>
      <w:szCs w:val="40"/>
    </w:rPr>
  </w:style>
  <w:style w:type="character" w:styleId="755">
    <w:name w:val="Heading 2 Char"/>
    <w:basedOn w:val="927"/>
    <w:link w:val="924"/>
    <w:uiPriority w:val="9"/>
    <w:rPr>
      <w:rFonts w:ascii="Arial" w:hAnsi="Arial" w:eastAsia="Arial" w:cs="Arial"/>
      <w:sz w:val="34"/>
    </w:rPr>
  </w:style>
  <w:style w:type="character" w:styleId="756">
    <w:name w:val="Heading 3 Char"/>
    <w:basedOn w:val="927"/>
    <w:link w:val="925"/>
    <w:uiPriority w:val="9"/>
    <w:rPr>
      <w:rFonts w:ascii="Arial" w:hAnsi="Arial" w:eastAsia="Arial" w:cs="Arial"/>
      <w:sz w:val="30"/>
      <w:szCs w:val="30"/>
    </w:rPr>
  </w:style>
  <w:style w:type="character" w:styleId="757">
    <w:name w:val="Heading 4 Char"/>
    <w:basedOn w:val="927"/>
    <w:link w:val="92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2"/>
    <w:next w:val="922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basedOn w:val="927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2"/>
    <w:next w:val="922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basedOn w:val="927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2"/>
    <w:next w:val="922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basedOn w:val="927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2"/>
    <w:next w:val="922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basedOn w:val="927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2"/>
    <w:next w:val="922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basedOn w:val="927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No Spacing"/>
    <w:uiPriority w:val="1"/>
    <w:qFormat/>
    <w:pPr>
      <w:spacing w:before="0" w:after="0" w:line="240" w:lineRule="auto"/>
    </w:pPr>
  </w:style>
  <w:style w:type="paragraph" w:styleId="769">
    <w:name w:val="Title"/>
    <w:basedOn w:val="922"/>
    <w:next w:val="922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>
    <w:name w:val="Title Char"/>
    <w:basedOn w:val="927"/>
    <w:link w:val="769"/>
    <w:uiPriority w:val="10"/>
    <w:rPr>
      <w:sz w:val="48"/>
      <w:szCs w:val="48"/>
    </w:rPr>
  </w:style>
  <w:style w:type="paragraph" w:styleId="771">
    <w:name w:val="Subtitle"/>
    <w:basedOn w:val="922"/>
    <w:next w:val="922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>
    <w:name w:val="Subtitle Char"/>
    <w:basedOn w:val="927"/>
    <w:link w:val="771"/>
    <w:uiPriority w:val="11"/>
    <w:rPr>
      <w:sz w:val="24"/>
      <w:szCs w:val="24"/>
    </w:rPr>
  </w:style>
  <w:style w:type="paragraph" w:styleId="773">
    <w:name w:val="Quote"/>
    <w:basedOn w:val="922"/>
    <w:next w:val="922"/>
    <w:link w:val="774"/>
    <w:uiPriority w:val="29"/>
    <w:qFormat/>
    <w:pPr>
      <w:ind w:left="720" w:right="720"/>
    </w:pPr>
    <w:rPr>
      <w:i/>
    </w:rPr>
  </w:style>
  <w:style w:type="character" w:styleId="774">
    <w:name w:val="Quote Char"/>
    <w:link w:val="773"/>
    <w:uiPriority w:val="29"/>
    <w:rPr>
      <w:i/>
    </w:rPr>
  </w:style>
  <w:style w:type="paragraph" w:styleId="775">
    <w:name w:val="Intense Quote"/>
    <w:basedOn w:val="922"/>
    <w:next w:val="922"/>
    <w:link w:val="7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>
    <w:name w:val="Intense Quote Char"/>
    <w:link w:val="775"/>
    <w:uiPriority w:val="30"/>
    <w:rPr>
      <w:i/>
    </w:rPr>
  </w:style>
  <w:style w:type="character" w:styleId="777">
    <w:name w:val="Header Char"/>
    <w:basedOn w:val="927"/>
    <w:link w:val="936"/>
    <w:uiPriority w:val="99"/>
  </w:style>
  <w:style w:type="character" w:styleId="778">
    <w:name w:val="Footer Char"/>
    <w:basedOn w:val="927"/>
    <w:link w:val="938"/>
    <w:uiPriority w:val="99"/>
  </w:style>
  <w:style w:type="character" w:styleId="779">
    <w:name w:val="Caption Char"/>
    <w:basedOn w:val="958"/>
    <w:link w:val="938"/>
    <w:uiPriority w:val="99"/>
  </w:style>
  <w:style w:type="table" w:styleId="780">
    <w:name w:val="Table Grid Light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>
    <w:name w:val="Grid Table 4 - Accent 1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9">
    <w:name w:val="Grid Table 4 - Accent 2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Grid Table 4 - Accent 3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1">
    <w:name w:val="Grid Table 4 - Accent 4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Grid Table 4 - Accent 5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3">
    <w:name w:val="Grid Table 4 - Accent 6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4">
    <w:name w:val="Grid Table 5 Dark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1">
    <w:name w:val="Grid Table 6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2">
    <w:name w:val="Grid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3">
    <w:name w:val="Grid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4">
    <w:name w:val="Grid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5">
    <w:name w:val="Grid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6">
    <w:name w:val="Grid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7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3">
    <w:name w:val="List Table 2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4">
    <w:name w:val="List Table 2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5">
    <w:name w:val="List Table 2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6">
    <w:name w:val="List Table 2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7">
    <w:name w:val="List Table 2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8">
    <w:name w:val="List Table 2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6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1">
    <w:name w:val="List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2">
    <w:name w:val="List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List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4">
    <w:name w:val="List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List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6">
    <w:name w:val="List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7">
    <w:name w:val="List Table 7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8">
    <w:name w:val="List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9">
    <w:name w:val="List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0">
    <w:name w:val="List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1">
    <w:name w:val="List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2">
    <w:name w:val="List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3">
    <w:name w:val="List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4">
    <w:name w:val="Lined - Accent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Lined - Accent 1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6">
    <w:name w:val="Lined - Accent 2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7">
    <w:name w:val="Lined - Accent 3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8">
    <w:name w:val="Lined - Accent 4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9">
    <w:name w:val="Lined - Accent 5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0">
    <w:name w:val="Lined - Accent 6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1">
    <w:name w:val="Bordered &amp; Lined - Accent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Bordered &amp; Lined - Accent 1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3">
    <w:name w:val="Bordered &amp; Lined - Accent 2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4">
    <w:name w:val="Bordered &amp; Lined - Accent 3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5">
    <w:name w:val="Bordered &amp; Lined - Accent 4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6">
    <w:name w:val="Bordered &amp; Lined - Accent 5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7">
    <w:name w:val="Bordered &amp; Lined - Accent 6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8">
    <w:name w:val="Bordered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9">
    <w:name w:val="Bordered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0">
    <w:name w:val="Bordered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1">
    <w:name w:val="Bordered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2">
    <w:name w:val="Bordered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3">
    <w:name w:val="Bordered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4">
    <w:name w:val="Bordered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5">
    <w:name w:val="footnote text"/>
    <w:basedOn w:val="922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>
    <w:name w:val="Footnote Text Char"/>
    <w:link w:val="905"/>
    <w:uiPriority w:val="99"/>
    <w:rPr>
      <w:sz w:val="18"/>
    </w:rPr>
  </w:style>
  <w:style w:type="character" w:styleId="907">
    <w:name w:val="footnote reference"/>
    <w:basedOn w:val="927"/>
    <w:uiPriority w:val="99"/>
    <w:unhideWhenUsed/>
    <w:rPr>
      <w:vertAlign w:val="superscript"/>
    </w:rPr>
  </w:style>
  <w:style w:type="paragraph" w:styleId="908">
    <w:name w:val="endnote text"/>
    <w:basedOn w:val="922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basedOn w:val="927"/>
    <w:uiPriority w:val="99"/>
    <w:semiHidden/>
    <w:unhideWhenUsed/>
    <w:rPr>
      <w:vertAlign w:val="superscript"/>
    </w:rPr>
  </w:style>
  <w:style w:type="paragraph" w:styleId="911">
    <w:name w:val="toc 1"/>
    <w:basedOn w:val="922"/>
    <w:next w:val="922"/>
    <w:uiPriority w:val="39"/>
    <w:unhideWhenUsed/>
    <w:pPr>
      <w:ind w:left="0" w:right="0" w:firstLine="0"/>
      <w:spacing w:after="57"/>
    </w:pPr>
  </w:style>
  <w:style w:type="paragraph" w:styleId="912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913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914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915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916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917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918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919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923">
    <w:name w:val="Heading 1"/>
    <w:basedOn w:val="922"/>
    <w:link w:val="941"/>
    <w:uiPriority w:val="1"/>
    <w:qFormat/>
    <w:pPr>
      <w:ind w:left="357"/>
      <w:spacing w:before="85" w:after="0" w:line="240" w:lineRule="auto"/>
      <w:widowControl w:val="off"/>
      <w:outlineLvl w:val="0"/>
    </w:pPr>
    <w:rPr>
      <w:rFonts w:ascii="Times New Roman" w:hAnsi="Times New Roman" w:eastAsia="Times New Roman"/>
      <w:sz w:val="36"/>
      <w:szCs w:val="36"/>
      <w:lang w:bidi="ru-RU"/>
    </w:rPr>
  </w:style>
  <w:style w:type="paragraph" w:styleId="924">
    <w:name w:val="Heading 2"/>
    <w:basedOn w:val="922"/>
    <w:link w:val="947"/>
    <w:uiPriority w:val="1"/>
    <w:qFormat/>
    <w:pPr>
      <w:ind w:right="461"/>
      <w:jc w:val="center"/>
      <w:spacing w:before="89" w:after="0" w:line="240" w:lineRule="auto"/>
      <w:widowControl w:val="off"/>
      <w:outlineLvl w:val="1"/>
    </w:pPr>
    <w:rPr>
      <w:rFonts w:ascii="Times New Roman" w:hAnsi="Times New Roman" w:eastAsia="Times New Roman"/>
      <w:b/>
      <w:bCs/>
      <w:sz w:val="28"/>
      <w:szCs w:val="28"/>
      <w:lang w:bidi="ru-RU"/>
    </w:rPr>
  </w:style>
  <w:style w:type="paragraph" w:styleId="925">
    <w:name w:val="Heading 3"/>
    <w:basedOn w:val="922"/>
    <w:link w:val="942"/>
    <w:uiPriority w:val="1"/>
    <w:qFormat/>
    <w:pPr>
      <w:ind w:left="533" w:firstLine="708"/>
      <w:spacing w:after="0" w:line="240" w:lineRule="auto"/>
      <w:widowControl w:val="off"/>
      <w:outlineLvl w:val="2"/>
    </w:pPr>
    <w:rPr>
      <w:rFonts w:ascii="Times New Roman" w:hAnsi="Times New Roman" w:eastAsia="Times New Roman"/>
      <w:b/>
      <w:bCs/>
      <w:sz w:val="26"/>
      <w:szCs w:val="26"/>
      <w:lang w:bidi="ru-RU"/>
    </w:rPr>
  </w:style>
  <w:style w:type="paragraph" w:styleId="926">
    <w:name w:val="Heading 4"/>
    <w:basedOn w:val="922"/>
    <w:link w:val="948"/>
    <w:uiPriority w:val="1"/>
    <w:qFormat/>
    <w:pPr>
      <w:ind w:left="533" w:firstLine="708"/>
      <w:jc w:val="both"/>
      <w:spacing w:before="88" w:after="0" w:line="240" w:lineRule="auto"/>
      <w:widowControl w:val="off"/>
      <w:outlineLvl w:val="3"/>
    </w:pPr>
    <w:rPr>
      <w:rFonts w:ascii="Times New Roman" w:hAnsi="Times New Roman" w:eastAsia="Times New Roman"/>
      <w:b/>
      <w:bCs/>
      <w:i/>
      <w:sz w:val="26"/>
      <w:szCs w:val="26"/>
      <w:lang w:bidi="ru-RU"/>
    </w:rPr>
  </w:style>
  <w:style w:type="character" w:styleId="927" w:default="1">
    <w:name w:val="Default Paragraph Font"/>
    <w:uiPriority w:val="1"/>
    <w:semiHidden/>
    <w:unhideWhenUsed/>
  </w:style>
  <w:style w:type="table" w:styleId="9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9" w:default="1">
    <w:name w:val="No List"/>
    <w:uiPriority w:val="99"/>
    <w:semiHidden/>
    <w:unhideWhenUsed/>
  </w:style>
  <w:style w:type="paragraph" w:styleId="930">
    <w:name w:val="Balloon Text"/>
    <w:basedOn w:val="922"/>
    <w:link w:val="93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931" w:customStyle="1">
    <w:name w:val="Текст выноски Знак"/>
    <w:link w:val="930"/>
    <w:uiPriority w:val="99"/>
    <w:semiHidden/>
    <w:rPr>
      <w:rFonts w:ascii="Tahoma" w:hAnsi="Tahoma" w:cs="Tahoma"/>
      <w:sz w:val="16"/>
      <w:szCs w:val="16"/>
    </w:rPr>
  </w:style>
  <w:style w:type="character" w:styleId="932">
    <w:name w:val="Hyperlink"/>
    <w:uiPriority w:val="99"/>
    <w:unhideWhenUsed/>
    <w:rPr>
      <w:color w:val="0000ff"/>
      <w:u w:val="single"/>
    </w:rPr>
  </w:style>
  <w:style w:type="paragraph" w:styleId="933" w:customStyle="1">
    <w:name w:val="ConsPlusNormal"/>
    <w:pPr>
      <w:widowControl w:val="off"/>
    </w:pPr>
    <w:rPr>
      <w:rFonts w:ascii="Times New Roman" w:hAnsi="Times New Roman" w:eastAsia="Times New Roman"/>
      <w:sz w:val="28"/>
    </w:rPr>
  </w:style>
  <w:style w:type="paragraph" w:styleId="934" w:customStyle="1">
    <w:name w:val="ConsPlusTitle"/>
    <w:pPr>
      <w:widowControl w:val="off"/>
    </w:pPr>
    <w:rPr>
      <w:rFonts w:ascii="Times New Roman" w:hAnsi="Times New Roman" w:eastAsia="Times New Roman"/>
      <w:b/>
      <w:sz w:val="28"/>
    </w:rPr>
  </w:style>
  <w:style w:type="paragraph" w:styleId="935" w:customStyle="1">
    <w:name w:val="Цветной список - Акцент 11"/>
    <w:basedOn w:val="922"/>
    <w:uiPriority w:val="34"/>
    <w:qFormat/>
    <w:pPr>
      <w:contextualSpacing/>
      <w:ind w:left="720"/>
    </w:pPr>
  </w:style>
  <w:style w:type="paragraph" w:styleId="936">
    <w:name w:val="Header"/>
    <w:basedOn w:val="922"/>
    <w:link w:val="9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927"/>
    <w:link w:val="936"/>
    <w:uiPriority w:val="99"/>
  </w:style>
  <w:style w:type="paragraph" w:styleId="938">
    <w:name w:val="Footer"/>
    <w:basedOn w:val="922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927"/>
    <w:link w:val="938"/>
    <w:uiPriority w:val="99"/>
  </w:style>
  <w:style w:type="table" w:styleId="940">
    <w:name w:val="Table Grid"/>
    <w:basedOn w:val="92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1" w:customStyle="1">
    <w:name w:val="Заголовок 1 Знак"/>
    <w:link w:val="923"/>
    <w:uiPriority w:val="1"/>
    <w:rPr>
      <w:rFonts w:ascii="Times New Roman" w:hAnsi="Times New Roman" w:eastAsia="Times New Roman"/>
      <w:sz w:val="36"/>
      <w:szCs w:val="36"/>
      <w:lang w:bidi="ru-RU"/>
    </w:rPr>
  </w:style>
  <w:style w:type="character" w:styleId="942" w:customStyle="1">
    <w:name w:val="Заголовок 3 Знак"/>
    <w:link w:val="925"/>
    <w:uiPriority w:val="1"/>
    <w:rPr>
      <w:rFonts w:ascii="Times New Roman" w:hAnsi="Times New Roman" w:eastAsia="Times New Roman"/>
      <w:b/>
      <w:bCs/>
      <w:sz w:val="26"/>
      <w:szCs w:val="26"/>
      <w:lang w:bidi="ru-RU"/>
    </w:rPr>
  </w:style>
  <w:style w:type="table" w:styleId="943" w:customStyle="1">
    <w:name w:val="Table Normal"/>
    <w:uiPriority w:val="2"/>
    <w:semiHidden/>
    <w:unhideWhenUsed/>
    <w:qFormat/>
    <w:pPr>
      <w:widowControl w:val="off"/>
    </w:pPr>
    <w:rPr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44">
    <w:name w:val="Body Text"/>
    <w:basedOn w:val="922"/>
    <w:link w:val="945"/>
    <w:uiPriority w:val="1"/>
    <w:qFormat/>
    <w:pPr>
      <w:ind w:left="533" w:firstLine="708"/>
      <w:jc w:val="both"/>
      <w:spacing w:after="0" w:line="240" w:lineRule="auto"/>
      <w:widowControl w:val="off"/>
    </w:pPr>
    <w:rPr>
      <w:rFonts w:ascii="Times New Roman" w:hAnsi="Times New Roman" w:eastAsia="Times New Roman"/>
      <w:sz w:val="26"/>
      <w:szCs w:val="26"/>
      <w:lang w:bidi="ru-RU"/>
    </w:rPr>
  </w:style>
  <w:style w:type="character" w:styleId="945" w:customStyle="1">
    <w:name w:val="Основной текст Знак"/>
    <w:link w:val="944"/>
    <w:uiPriority w:val="1"/>
    <w:rPr>
      <w:rFonts w:ascii="Times New Roman" w:hAnsi="Times New Roman" w:eastAsia="Times New Roman"/>
      <w:sz w:val="26"/>
      <w:szCs w:val="26"/>
      <w:lang w:bidi="ru-RU"/>
    </w:rPr>
  </w:style>
  <w:style w:type="paragraph" w:styleId="946" w:customStyle="1">
    <w:name w:val="Table Paragraph"/>
    <w:basedOn w:val="922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/>
      <w:lang w:eastAsia="ru-RU" w:bidi="ru-RU"/>
    </w:rPr>
  </w:style>
  <w:style w:type="character" w:styleId="947" w:customStyle="1">
    <w:name w:val="Заголовок 2 Знак"/>
    <w:link w:val="924"/>
    <w:uiPriority w:val="1"/>
    <w:rPr>
      <w:rFonts w:ascii="Times New Roman" w:hAnsi="Times New Roman" w:eastAsia="Times New Roman"/>
      <w:b/>
      <w:bCs/>
      <w:sz w:val="28"/>
      <w:szCs w:val="28"/>
      <w:lang w:bidi="ru-RU"/>
    </w:rPr>
  </w:style>
  <w:style w:type="character" w:styleId="948" w:customStyle="1">
    <w:name w:val="Заголовок 4 Знак"/>
    <w:link w:val="926"/>
    <w:uiPriority w:val="1"/>
    <w:rPr>
      <w:rFonts w:ascii="Times New Roman" w:hAnsi="Times New Roman" w:eastAsia="Times New Roman"/>
      <w:b/>
      <w:bCs/>
      <w:i/>
      <w:sz w:val="26"/>
      <w:szCs w:val="26"/>
      <w:lang w:bidi="ru-RU"/>
    </w:rPr>
  </w:style>
  <w:style w:type="character" w:styleId="949">
    <w:name w:val="annotation reference"/>
    <w:uiPriority w:val="99"/>
    <w:semiHidden/>
    <w:unhideWhenUsed/>
    <w:rPr>
      <w:sz w:val="16"/>
      <w:szCs w:val="16"/>
    </w:rPr>
  </w:style>
  <w:style w:type="paragraph" w:styleId="950">
    <w:name w:val="annotation text"/>
    <w:basedOn w:val="922"/>
    <w:link w:val="951"/>
    <w:uiPriority w:val="99"/>
    <w:semiHidden/>
    <w:unhideWhenUsed/>
    <w:rPr>
      <w:sz w:val="20"/>
      <w:szCs w:val="20"/>
    </w:rPr>
  </w:style>
  <w:style w:type="character" w:styleId="951" w:customStyle="1">
    <w:name w:val="Текст примечания Знак"/>
    <w:link w:val="950"/>
    <w:uiPriority w:val="99"/>
    <w:semiHidden/>
    <w:rPr>
      <w:lang w:eastAsia="en-US"/>
    </w:rPr>
  </w:style>
  <w:style w:type="paragraph" w:styleId="952">
    <w:name w:val="annotation subject"/>
    <w:basedOn w:val="950"/>
    <w:next w:val="950"/>
    <w:link w:val="953"/>
    <w:uiPriority w:val="99"/>
    <w:semiHidden/>
    <w:unhideWhenUsed/>
    <w:rPr>
      <w:b/>
      <w:bCs/>
    </w:rPr>
  </w:style>
  <w:style w:type="character" w:styleId="953" w:customStyle="1">
    <w:name w:val="Тема примечания Знак"/>
    <w:link w:val="952"/>
    <w:uiPriority w:val="99"/>
    <w:semiHidden/>
    <w:rPr>
      <w:b/>
      <w:bCs/>
      <w:lang w:eastAsia="en-US"/>
    </w:rPr>
  </w:style>
  <w:style w:type="paragraph" w:styleId="954">
    <w:name w:val="HTML Preformatted"/>
    <w:basedOn w:val="922"/>
    <w:link w:val="955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character" w:styleId="955" w:customStyle="1">
    <w:name w:val="Стандартный HTML Знак"/>
    <w:link w:val="954"/>
    <w:uiPriority w:val="99"/>
    <w:rPr>
      <w:rFonts w:ascii="Courier New" w:hAnsi="Courier New" w:eastAsia="Times New Roman" w:cs="Courier New"/>
    </w:rPr>
  </w:style>
  <w:style w:type="character" w:styleId="956">
    <w:name w:val="Strong"/>
    <w:uiPriority w:val="22"/>
    <w:qFormat/>
    <w:rPr>
      <w:b/>
      <w:bCs/>
    </w:rPr>
  </w:style>
  <w:style w:type="paragraph" w:styleId="957">
    <w:name w:val="List Paragraph"/>
    <w:basedOn w:val="922"/>
    <w:uiPriority w:val="34"/>
    <w:qFormat/>
    <w:pPr>
      <w:contextualSpacing/>
      <w:ind w:left="720"/>
    </w:pPr>
  </w:style>
  <w:style w:type="paragraph" w:styleId="958">
    <w:name w:val="Caption"/>
    <w:basedOn w:val="922"/>
    <w:next w:val="922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959" w:customStyle="1">
    <w:name w:val="Стандартный HTML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960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wmf"/><Relationship Id="rId17" Type="http://schemas.openxmlformats.org/officeDocument/2006/relationships/image" Target="media/image2.wmf"/><Relationship Id="rId18" Type="http://schemas.openxmlformats.org/officeDocument/2006/relationships/image" Target="media/image3.wmf"/><Relationship Id="rId19" Type="http://schemas.openxmlformats.org/officeDocument/2006/relationships/image" Target="media/image4.wmf"/><Relationship Id="rId20" Type="http://schemas.openxmlformats.org/officeDocument/2006/relationships/image" Target="media/image5.wmf"/><Relationship Id="rId21" Type="http://schemas.openxmlformats.org/officeDocument/2006/relationships/image" Target="media/image6.wmf"/><Relationship Id="rId22" Type="http://schemas.openxmlformats.org/officeDocument/2006/relationships/image" Target="media/image7.wmf"/><Relationship Id="rId23" Type="http://schemas.openxmlformats.org/officeDocument/2006/relationships/image" Target="media/image8.wmf"/><Relationship Id="rId24" Type="http://schemas.openxmlformats.org/officeDocument/2006/relationships/image" Target="media/image9.wmf"/><Relationship Id="rId25" Type="http://schemas.openxmlformats.org/officeDocument/2006/relationships/image" Target="media/image10.wmf"/><Relationship Id="rId26" Type="http://schemas.openxmlformats.org/officeDocument/2006/relationships/image" Target="media/image11.wmf"/><Relationship Id="rId27" Type="http://schemas.openxmlformats.org/officeDocument/2006/relationships/image" Target="media/image12.wmf"/><Relationship Id="rId28" Type="http://schemas.openxmlformats.org/officeDocument/2006/relationships/image" Target="media/image13.wmf"/><Relationship Id="rId29" Type="http://schemas.openxmlformats.org/officeDocument/2006/relationships/image" Target="media/image14.wmf"/><Relationship Id="rId30" Type="http://schemas.openxmlformats.org/officeDocument/2006/relationships/image" Target="media/image15.wmf"/><Relationship Id="rId31" Type="http://schemas.openxmlformats.org/officeDocument/2006/relationships/image" Target="media/image16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B0BA-76B7-41FF-9D78-F40D716E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revision>8</cp:revision>
  <dcterms:created xsi:type="dcterms:W3CDTF">2024-09-12T05:41:00Z</dcterms:created>
  <dcterms:modified xsi:type="dcterms:W3CDTF">2024-09-27T12:59:20Z</dcterms:modified>
</cp:coreProperties>
</file>