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Обобщение правоприменительной практики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по итогам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осуществления муниципального земельного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г.о. Серебряные Пруды Московской области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i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Типичные нарушения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2023 году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14:ligatures w14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8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земельный контроль на территории городского округа Серебряные Пруды Московской области осуществляется в соответствии с положениями Земельного кодекса Российской Федерации, Федерального закона от 31.07.2020 № 248-ФЗ «О государственном контро</w:t>
      </w:r>
      <w:r>
        <w:rPr>
          <w:rFonts w:ascii="Times New Roman" w:hAnsi="Times New Roman" w:cs="Times New Roman"/>
          <w:sz w:val="28"/>
          <w:szCs w:val="28"/>
        </w:rPr>
        <w:t xml:space="preserve">ле (надзоре) и муниципальном контроле в Российской Федерации», Федерального закона от 06.10.2003 № 131-ФЗ  «Об общих принципах организации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в Российской Федерации»,  Положения о муниципальном земельном контроле на территории городского округа Серебряные Пруды Московской области, утвержденного решением Совета депутатов городского округа Серебряные Пруды от 16.09.2021 № 651/81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Обобщение и анализ правоприменительной практики осуществления муниципального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контроля подготовлен с целью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единообразных подходов к применению органом муниципального земельного контроля обязательных требований, законодательства Российской Федерации о муниципальном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выявления типичных н</w:t>
      </w:r>
      <w:r>
        <w:rPr>
          <w:rFonts w:ascii="Times New Roman" w:hAnsi="Times New Roman" w:cs="Times New Roman"/>
          <w:sz w:val="28"/>
          <w:szCs w:val="28"/>
        </w:rPr>
        <w:t xml:space="preserve">арушений обязательных требований, причин, факторов и условий, способствующих возникновению указанных нарушений; </w:t>
      </w:r>
      <w:r>
        <w:rPr>
          <w:rFonts w:ascii="Times New Roman" w:hAnsi="Times New Roman" w:cs="Times New Roman"/>
          <w:sz w:val="28"/>
          <w:szCs w:val="28"/>
        </w:rPr>
        <w:t xml:space="preserve">анализа случаев причинения вреда (ущерба) охраняемым законом ценностям, выявление источников и факторов риска причинения вреда (ущерба);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предложений об актуализации обязательных требований.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10.03.2022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336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 xml:space="preserve">дзора), муниципального контроля» проведение контрольных 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в 2023 году было ограничено.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была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профилактику нарушений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требований, содействие укреплению законности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2023 год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ыли проведены следующие профилактические мероприятия: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2"/>
        <w:numPr>
          <w:ilvl w:val="0"/>
          <w:numId w:val="3"/>
        </w:numPr>
        <w:ind w:left="0" w:right="0" w:firstLine="0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проведено выездное обследование 2055 земельных участков (в том числе 1934 с помощью мобильного приложения «Проверки Подмосковья»);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62"/>
        <w:numPr>
          <w:ilvl w:val="0"/>
          <w:numId w:val="3"/>
        </w:numPr>
        <w:ind w:left="0" w:right="0" w:firstLine="0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роведено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sz w:val="28"/>
          <w:szCs w:val="28"/>
        </w:rPr>
        <w:t xml:space="preserve">ований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pStyle w:val="662"/>
        <w:numPr>
          <w:ilvl w:val="0"/>
          <w:numId w:val="3"/>
        </w:numPr>
        <w:ind w:left="0" w:right="0" w:firstLine="0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объявлено 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предостережения </w:t>
      </w:r>
      <w:r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требований;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pStyle w:val="662"/>
        <w:numPr>
          <w:ilvl w:val="0"/>
          <w:numId w:val="3"/>
        </w:numPr>
        <w:ind w:left="0" w:right="0" w:firstLine="0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38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консультирований контролируемых лиц.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ind w:firstLine="56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В ходе проведения контрольных (надзорных) мероприятий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органом муниципального земельного контроля в 2023 году выявлено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77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нарушений законодательства, из которых:</w:t>
      </w:r>
      <w:r>
        <w:rPr>
          <w:rFonts w:ascii="Times New Roman" w:hAnsi="Times New Roman" w:eastAsia="Times New Roman"/>
          <w:highlight w:val="white"/>
        </w:rPr>
      </w:r>
      <w:r/>
    </w:p>
    <w:p>
      <w:pPr>
        <w:ind w:firstLine="56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а)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неиспользование земель с/х назначения  – 35 нарушений</w:t>
      </w: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highlight w:val="white"/>
        </w:rPr>
      </w:r>
      <w:r/>
    </w:p>
    <w:p>
      <w:pPr>
        <w:ind w:firstLine="567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б) самовольное занятие земель нера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зграниченной государственной собственности – 17 нарушений;</w:t>
      </w:r>
      <w:r>
        <w:rPr>
          <w:rFonts w:ascii="Times New Roman" w:hAnsi="Times New Roman" w:eastAsia="Times New Roman"/>
          <w:highlight w:val="white"/>
        </w:rPr>
      </w:r>
      <w:r/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в)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произрастание борщевика Сосновского на земельных участках, находящихся в частной собственности –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25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нарушений</w:t>
      </w: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выяв</w:t>
      </w:r>
      <w:r>
        <w:rPr>
          <w:rFonts w:ascii="Times New Roman" w:hAnsi="Times New Roman" w:cs="Times New Roman"/>
          <w:sz w:val="28"/>
          <w:szCs w:val="28"/>
        </w:rPr>
        <w:t xml:space="preserve">лены следующие часто встречающиеся</w:t>
      </w:r>
      <w:r>
        <w:rPr>
          <w:rFonts w:ascii="Times New Roman" w:hAnsi="Times New Roman" w:cs="Times New Roman"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тр</w:t>
      </w:r>
      <w:r>
        <w:rPr>
          <w:rFonts w:ascii="Times New Roman" w:hAnsi="Times New Roman" w:cs="Times New Roman"/>
          <w:sz w:val="28"/>
          <w:szCs w:val="28"/>
        </w:rPr>
        <w:t xml:space="preserve">ебований: 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Неиспользование использование земельного участка по целевому назначению.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Статьёй 42 Земельного кодекса РФ установлены обязанности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и лиц, не являющихся собственниками земельных участков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 Пункт </w:t>
      </w:r>
      <w:r>
        <w:rPr>
          <w:rFonts w:ascii="Times New Roman" w:hAnsi="Times New Roman" w:cs="Times New Roman"/>
          <w:sz w:val="28"/>
          <w:szCs w:val="28"/>
        </w:rPr>
        <w:t xml:space="preserve">3  ст.</w:t>
      </w:r>
      <w:r>
        <w:rPr>
          <w:rFonts w:ascii="Times New Roman" w:hAnsi="Times New Roman" w:cs="Times New Roman"/>
          <w:sz w:val="28"/>
          <w:szCs w:val="28"/>
        </w:rPr>
        <w:t xml:space="preserve">13 Земельного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обязывает собственника, арендатора и др. пользователей проводить мероприятия по защите сельскохозяйственных угодий от зарастания деревьями и кустарниками, сорными растениями.</w:t>
      </w:r>
      <w:r>
        <w:rPr>
          <w:rFonts w:ascii="Times New Roman" w:hAnsi="Times New Roman" w:cs="Times New Roman"/>
          <w:sz w:val="28"/>
          <w:szCs w:val="28"/>
          <w:highlight w:val="none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 В правоустанавливающих документах на землю, а также в ЕГРН,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правовой режим земельного участка – его целевое назначение и вид разрешенного использования.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 необходимо удостовериться, что фактическое использование земельного участка соответствует правовому режиму земельного участка.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земельных отношений должны проводить деятельность, направленную на сохранение земли как важнейшего компонента окружающей среды и природного ресурса, сохранению почв и их плодородия, сохранять достигнутый уровень мелиорации.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использование земельного участка не по целевому назначению и (или) не в соответствии с установленным разрешенным использованием установлена частью 1 статьи 8.8. </w:t>
      </w:r>
      <w:r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может быть изъят у собственника, если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участка осуществляется с нарушением требований законодательства Российской Федерации, в частности, если участок используется не по целевому назначению, или его использование приводит к существенному снижению плодородия земель сельскохозяйственного </w:t>
      </w:r>
      <w:r>
        <w:rPr>
          <w:rFonts w:ascii="Times New Roman" w:hAnsi="Times New Roman" w:cs="Times New Roman"/>
          <w:sz w:val="28"/>
          <w:szCs w:val="28"/>
        </w:rPr>
        <w:t xml:space="preserve">назначения, либо причинению вреда окружающей среде, или на участке возведена или создана самовольная постройка и лицами, указанными в п. 2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ст. 222 Градостроительного Кодекса Российской Федерации, не выполнены предусмотренные законом обязанности по ее сносу или приведению в соответствие с установленными требованиями.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Самовольное занятие земельного участка неразграниченной государственной собственности или его части.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Изменение фактических границ 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которых увели</w:t>
      </w:r>
      <w:r>
        <w:rPr>
          <w:rFonts w:ascii="Times New Roman" w:hAnsi="Times New Roman" w:cs="Times New Roman"/>
          <w:sz w:val="28"/>
          <w:szCs w:val="28"/>
        </w:rPr>
        <w:t xml:space="preserve">чивается площадь земельного участка за счет самовольного занятия земель, </w:t>
      </w:r>
      <w:r>
        <w:rPr>
          <w:rFonts w:ascii="Times New Roman" w:hAnsi="Times New Roman" w:cs="Times New Roman"/>
          <w:sz w:val="28"/>
          <w:szCs w:val="28"/>
        </w:rPr>
        <w:t xml:space="preserve">совершенное граж</w:t>
      </w:r>
      <w:r>
        <w:rPr>
          <w:rFonts w:ascii="Times New Roman" w:hAnsi="Times New Roman" w:cs="Times New Roman"/>
          <w:sz w:val="28"/>
          <w:szCs w:val="28"/>
        </w:rPr>
        <w:t xml:space="preserve">данами, юридическими лицами, индивидуальными предпринимателями рассматривается как нарушение земельного законодательства, наносящее ущерб экономике, пользователям земельных участков (ст. 7.1 Кодекса об административных правонарушений Российской Федерации).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случае, если не проведена процедура межевания границ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участка, не определено местоположение границ земельного участка, и площадь не уточнена, участок становится объектом спора с «соседними</w:t>
      </w:r>
      <w:r>
        <w:rPr>
          <w:rFonts w:ascii="Times New Roman" w:hAnsi="Times New Roman" w:cs="Times New Roman"/>
          <w:sz w:val="28"/>
          <w:szCs w:val="28"/>
        </w:rPr>
        <w:t xml:space="preserve">» хозяйствующими субъектами, возможен также самовольный захват земельного участка или его части, что впоследствии может привести к нарушению имущественных прав пользователя земельного участка, собственника земельного участка,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субъекта Российской Федерации.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Статьей 26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РФ «Документы о правах на земельные участки» права на земельные участки, удостоверяются документами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необходимо удостовериться, что границы используемого земельного участка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тствуют границам земельного участка, указанным в ЕГРН, не пересекают границ смежных земельных участков. Если в сведениях ЕГРН отсутствуют сведения о местоположении границ используемого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инженеру за проведением работ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местоположения границ земельного участка.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8"/>
        <w:jc w:val="both"/>
        <w:spacing w:after="0"/>
        <w:rPr>
          <w:rFonts w:ascii="Times New Roman" w:hAnsi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Произрастание борщевика Сосновского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непроведение мероприятий по его удалени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4"/>
          <w:szCs w:val="24"/>
          <w:highlight w:val="none"/>
        </w:rPr>
      </w:r>
      <w:r/>
      <w:r>
        <w:rPr>
          <w:color w:val="auto"/>
        </w:rPr>
      </w:r>
      <w:r>
        <w:rPr>
          <w:color w:val="auto"/>
        </w:rPr>
      </w:r>
      <w:r/>
      <w:r>
        <w:rPr>
          <w:rFonts w:ascii="Times New Roman" w:hAnsi="Times New Roman"/>
          <w:color w:val="auto"/>
          <w:sz w:val="24"/>
          <w:szCs w:val="24"/>
          <w:highlight w:val="none"/>
        </w:rPr>
      </w:r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Борщевик Сосновского представляет серьезную угрозу причинения вреда жизни и здоровью граждан, вреда животным. В соответствии со ст. 40.1 Закона Московской области от 30.12.2014 </w:t>
      </w:r>
      <w:r>
        <w:rPr>
          <w:rFonts w:ascii="Times New Roman" w:hAnsi="Times New Roman" w:cs="Times New Roman"/>
          <w:sz w:val="28"/>
          <w:szCs w:val="28"/>
        </w:rPr>
        <w:br/>
        <w:t xml:space="preserve">№ 191/2014-ОЗ «О регулировании дополнительных вопросов в сфере благоустройст</w:t>
      </w:r>
      <w:r>
        <w:rPr>
          <w:rFonts w:ascii="Times New Roman" w:hAnsi="Times New Roman" w:cs="Times New Roman"/>
          <w:sz w:val="28"/>
          <w:szCs w:val="28"/>
        </w:rPr>
        <w:t xml:space="preserve">ва в Московской области» (с изменениями от 28.11.2022г.) закреплена обязанность за правообладателями земельных участков проводить мероприятия по удалению борщевика Сосновского с земельных участков, находящихся в их собственности, владении или пользовании.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наличие на земельных участках очагов произрастания борщевика Сосновского, свидетельствующих о неиспользовании земель, может стать основанием для перерасчета налоговой ставки на земельные участки с 0,3 до 1,5 процентов.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42 Земельного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лица, </w:t>
      </w:r>
      <w:r>
        <w:rPr>
          <w:rFonts w:ascii="Times New Roman" w:hAnsi="Times New Roman" w:cs="Times New Roman"/>
          <w:sz w:val="28"/>
          <w:szCs w:val="28"/>
        </w:rPr>
        <w:t xml:space="preserve">не являющиеся собственниками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обязаны: использовать земельные участки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их целевым назначением способами, которыми не должны наносить вред окружающей среде,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земле как природному объекту, своевременно приступать к использованию земельных участков;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мероприятия по охране земель</w:t>
      </w:r>
      <w:r>
        <w:rPr>
          <w:rFonts w:ascii="Times New Roman" w:hAnsi="Times New Roman" w:cs="Times New Roman"/>
          <w:sz w:val="28"/>
          <w:szCs w:val="28"/>
        </w:rPr>
        <w:t xml:space="preserve">, лесов</w:t>
      </w:r>
      <w:r>
        <w:rPr>
          <w:rFonts w:ascii="Times New Roman" w:hAnsi="Times New Roman" w:cs="Times New Roman"/>
          <w:sz w:val="28"/>
          <w:szCs w:val="28"/>
        </w:rPr>
        <w:t xml:space="preserve">, водных объектов и других природных ресурсов,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меры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требований ст. 42 ЗК РФ, влечет к административной ответственности, предусмотренной статьей 8.8. </w:t>
      </w:r>
      <w:r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еречня типичных нарушений обязательных требований, проведенный на основании обобщения правоприменительной практики контрольно-надзорной деятельности в 2023 году: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</w:p>
    <w:p>
      <w:pPr>
        <w:pStyle w:val="662"/>
        <w:numPr>
          <w:ilvl w:val="0"/>
          <w:numId w:val="7"/>
        </w:numPr>
        <w:ind w:left="0" w:right="0" w:firstLine="0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45,4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нарушений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неиспользованием земель с/х назначения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pStyle w:val="662"/>
        <w:numPr>
          <w:ilvl w:val="0"/>
          <w:numId w:val="6"/>
        </w:numPr>
        <w:ind w:left="0" w:right="0" w:firstLine="0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22,1 % -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самовольное занятие земель нера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зграниченной государственной собственности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62"/>
        <w:numPr>
          <w:ilvl w:val="0"/>
          <w:numId w:val="6"/>
        </w:numPr>
        <w:ind w:left="0" w:right="0" w:firstLine="0"/>
        <w:jc w:val="both"/>
        <w:spacing w:after="0"/>
        <w:rPr>
          <w:rFonts w:ascii="Times New Roman" w:hAnsi="Times New Roman" w:cs="Times New Roman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32,5 % </w:t>
      </w: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произрастание борщевика Сосновского на земельных участках, находящихся в частной собственности</w:t>
      </w: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.</w:t>
      </w:r>
      <w:r/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Основными причинами нарушений является несоблюдение  обязательных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игнорирование уведомлений и предостережений о недопущении нарушений, выданных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участков.</w:t>
      </w:r>
      <w:r/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целью снижения количества нарушений обязательных требований, увеличения количества устраненных нарушений, выявленных в результате проведения профилактических мероприятий, планируется увеличить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материала на тему муниципального земельного контроля, размещаемого в СМИ (местная газета, сайт администрации) и официальных в аккаунтах администрации г.о. Серебряные Пруды в социальных сетях.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2"/>
    <w:next w:val="822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23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2"/>
    <w:next w:val="822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23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2"/>
    <w:next w:val="822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23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23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23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23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3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3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3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2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3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3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3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3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2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6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 w:customStyle="1">
    <w:name w:val="Normal (Web)"/>
    <w:basedOn w:val="822"/>
    <w:uiPriority w:val="99"/>
    <w:semiHidden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9</cp:revision>
  <dcterms:created xsi:type="dcterms:W3CDTF">2022-08-29T08:19:00Z</dcterms:created>
  <dcterms:modified xsi:type="dcterms:W3CDTF">2023-09-25T13:59:59Z</dcterms:modified>
</cp:coreProperties>
</file>