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</w:pPr>
      <w:r>
        <w:t xml:space="preserve">ФОРМА ПРОВЕРОЧНОГО ЛИСТА</w:t>
      </w:r>
      <w:r/>
      <w:r/>
    </w:p>
    <w:p>
      <w:pPr>
        <w:pStyle w:val="674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4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/>
      <w:r/>
    </w:p>
    <w:p>
      <w:pPr>
        <w:pStyle w:val="674"/>
        <w:jc w:val="center"/>
      </w:pPr>
      <w:r/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5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5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5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32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322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колышки, строительная лента </w:t>
              <w:br w:type="textWrapping" w:clear="all"/>
              <w:t xml:space="preserve">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</w:t>
            </w:r>
            <w:r>
              <w:rPr>
                <w:rFonts w:ascii="Times New Roman" w:hAnsi="Times New Roman" w:cs="Times New Roman"/>
              </w:rPr>
              <w:t xml:space="preserve"> случае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</w:instrText>
            </w:r>
            <w:r>
              <w:rPr>
                <w:rFonts w:ascii="Times New Roman" w:hAnsi="Times New Roman" w:cs="Times New Roman"/>
              </w:rPr>
              <w:instrText xml:space="preserve">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предназначен для общественного использования (сквер, бульвар, береговая полоса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не используется для иных целей (</w:t>
            </w:r>
            <w:r>
              <w:rPr>
                <w:rFonts w:ascii="Times New Roman" w:hAnsi="Times New Roman" w:cs="Times New Roman"/>
              </w:rPr>
              <w:t xml:space="preserve">котлован, карьер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4"/>
        <w:jc w:val="both"/>
      </w:pPr>
      <w:r/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</w:pPr>
      <w:r/>
      <w:r/>
    </w:p>
    <w:p>
      <w:pPr>
        <w:pStyle w:val="675"/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1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right"/>
    </w:pPr>
    <w:r/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  <w:szCs w:val="24"/>
        <w:lang w:val="en-US"/>
      </w:rPr>
      <w:t xml:space="preserve">7</w:t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  <w:szCs w:val="24"/>
      </w:rPr>
    </w:r>
    <w:r/>
    <w:r>
      <w:rPr>
        <w:rFonts w:ascii="Times New Roman" w:hAnsi="Times New Roman"/>
        <w:sz w:val="24"/>
        <w:szCs w:val="24"/>
      </w:rPr>
    </w:r>
    <w:r/>
    <w:r>
      <w:rPr>
        <w:rFonts w:ascii="Times New Roman" w:hAnsi="Times New Roman"/>
        <w:sz w:val="24"/>
        <w:szCs w:val="24"/>
      </w:rPr>
    </w:r>
  </w:p>
  <w:p>
    <w:pPr>
      <w:pStyle w:val="683"/>
      <w:jc w:val="righ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3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3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71">
    <w:name w:val="Основной шрифт абзаца"/>
    <w:next w:val="671"/>
    <w:link w:val="670"/>
    <w:uiPriority w:val="1"/>
    <w:unhideWhenUsed/>
  </w:style>
  <w:style w:type="table" w:styleId="672">
    <w:name w:val="Обычная таблица"/>
    <w:next w:val="672"/>
    <w:link w:val="670"/>
    <w:uiPriority w:val="99"/>
    <w:semiHidden/>
    <w:unhideWhenUsed/>
    <w:tblPr/>
  </w:style>
  <w:style w:type="numbering" w:styleId="673">
    <w:name w:val="Нет списка"/>
    <w:next w:val="673"/>
    <w:link w:val="670"/>
    <w:uiPriority w:val="99"/>
    <w:semiHidden/>
    <w:unhideWhenUsed/>
  </w:style>
  <w:style w:type="paragraph" w:styleId="674">
    <w:name w:val="ConsPlusNormal"/>
    <w:next w:val="674"/>
    <w:link w:val="670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5">
    <w:name w:val="ConsPlusNonformat"/>
    <w:next w:val="675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6">
    <w:name w:val="ConsPlusTitle"/>
    <w:next w:val="676"/>
    <w:link w:val="670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7">
    <w:name w:val="ConsPlusCell"/>
    <w:next w:val="677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ConsPlusDocList"/>
    <w:next w:val="678"/>
    <w:link w:val="670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9">
    <w:name w:val="ConsPlusTitlePage"/>
    <w:next w:val="679"/>
    <w:link w:val="670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80">
    <w:name w:val="ConsPlusJurTerm"/>
    <w:next w:val="680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ConsPlusTextList"/>
    <w:next w:val="681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2">
    <w:name w:val="ConsPlusTextList1"/>
    <w:next w:val="682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3">
    <w:name w:val="Верхний колонтитул"/>
    <w:basedOn w:val="670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uiPriority w:val="99"/>
    <w:rPr>
      <w:rFonts w:cs="Times New Roman"/>
    </w:rPr>
  </w:style>
  <w:style w:type="paragraph" w:styleId="685">
    <w:name w:val="Нижний колонтитул"/>
    <w:basedOn w:val="670"/>
    <w:next w:val="68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uiPriority w:val="99"/>
    <w:rPr>
      <w:rFonts w:cs="Times New Roman"/>
    </w:rPr>
  </w:style>
  <w:style w:type="character" w:styleId="687">
    <w:name w:val="Гиперссылка"/>
    <w:next w:val="687"/>
    <w:link w:val="670"/>
    <w:uiPriority w:val="99"/>
    <w:unhideWhenUsed/>
    <w:rPr>
      <w:rFonts w:cs="Times New Roman"/>
      <w:color w:val="0563c1"/>
      <w:u w:val="single"/>
    </w:rPr>
  </w:style>
  <w:style w:type="character" w:styleId="688">
    <w:name w:val="Просмотренная гиперссылка"/>
    <w:next w:val="688"/>
    <w:link w:val="670"/>
    <w:uiPriority w:val="99"/>
    <w:semiHidden/>
    <w:unhideWhenUsed/>
    <w:rPr>
      <w:rFonts w:cs="Times New Roman"/>
      <w:color w:val="954f72"/>
      <w:u w:val="single"/>
    </w:rPr>
  </w:style>
  <w:style w:type="table" w:styleId="689">
    <w:name w:val="Сетка таблицы"/>
    <w:basedOn w:val="672"/>
    <w:next w:val="689"/>
    <w:link w:val="670"/>
    <w:uiPriority w:val="39"/>
    <w:pPr>
      <w:spacing w:after="0" w:line="240" w:lineRule="auto"/>
    </w:pPr>
    <w:tblPr/>
  </w:style>
  <w:style w:type="paragraph" w:styleId="690">
    <w:name w:val="Текст выноски"/>
    <w:basedOn w:val="670"/>
    <w:next w:val="690"/>
    <w:link w:val="69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>
    <w:name w:val="Текст выноски Знак"/>
    <w:next w:val="691"/>
    <w:link w:val="690"/>
    <w:uiPriority w:val="99"/>
    <w:rPr>
      <w:rFonts w:ascii="Segoe UI" w:hAnsi="Segoe UI" w:cs="Segoe UI"/>
      <w:sz w:val="18"/>
      <w:szCs w:val="18"/>
    </w:rPr>
  </w:style>
  <w:style w:type="character" w:styleId="2467" w:default="1">
    <w:name w:val="Default Paragraph Font"/>
    <w:uiPriority w:val="1"/>
    <w:semiHidden/>
    <w:unhideWhenUsed/>
  </w:style>
  <w:style w:type="numbering" w:styleId="2468" w:default="1">
    <w:name w:val="No List"/>
    <w:uiPriority w:val="99"/>
    <w:semiHidden/>
    <w:unhideWhenUsed/>
  </w:style>
  <w:style w:type="table" w:styleId="24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7</cp:revision>
  <dcterms:created xsi:type="dcterms:W3CDTF">2022-01-31T06:54:00Z</dcterms:created>
  <dcterms:modified xsi:type="dcterms:W3CDTF">2024-12-25T12:33:33Z</dcterms:modified>
  <cp:version>983040</cp:version>
</cp:coreProperties>
</file>