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Информация для правообладателей земель сельскохозяйственного назначения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Администрации муниципального округа Серебряные Пруды </w:t>
      </w:r>
      <w:r>
        <w:rPr>
          <w:rFonts w:ascii="Times New Roman" w:hAnsi="Times New Roman" w:cs="Times New Roman"/>
          <w:sz w:val="28"/>
          <w:szCs w:val="28"/>
        </w:rPr>
        <w:t xml:space="preserve">информирует: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избежать нарушений и штрафов, важно соблюдать правила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земель сельскохозяйственного назначения, в том числе с учетом требований Правил противопожарного режима в Российской Федерации.</w:t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Оборот земельных участков сельскохозяйственного назначения регулируется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24.07.2002 № 101-ФЗ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обороте земель сельскохозяйственного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42 Земельного Кодекса Российской Федерации (далее – ЗК РФ) собственники зем</w:t>
      </w:r>
      <w:r>
        <w:rPr>
          <w:rFonts w:ascii="Times New Roman" w:hAnsi="Times New Roman" w:cs="Times New Roman"/>
          <w:sz w:val="28"/>
          <w:szCs w:val="28"/>
        </w:rPr>
        <w:t xml:space="preserve">ельных участков и лица, не являющиеся собственниками земельных участков, обязаны: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сохранять геодезические пункты государственной геодезической сети, нивелирные пункты государственной нивелирной сети, гравиметрические пункты государственной гравиметрической сети, геодезические пункты геодезических сетей специального назначения, лесохозяй</w:t>
      </w:r>
      <w:r>
        <w:rPr>
          <w:rFonts w:ascii="Times New Roman" w:hAnsi="Times New Roman" w:cs="Times New Roman"/>
          <w:sz w:val="28"/>
          <w:szCs w:val="28"/>
        </w:rPr>
        <w:t xml:space="preserve">ственные, лесоустроительные и иные специальные информационные знаки, установленные на земельных участках;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мероприятия по охране земель, лесов, водных объектов и других природных ресурсов, в том числе меры пожарной безопасности;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своевременно приступать к использованию земельных участков;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своевременно производить платежи за землю;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соблюдать при использовании земельных участков требования регламентов использования земель, экологические, санитарно-эпидемиологические и другие требования;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не допускать загрязнение, истощение, деградацию, порчу, уничтожение земель и почв и иное негативное воздействие на земли и почвы;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</w:t>
      </w:r>
      <w:r>
        <w:rPr>
          <w:rFonts w:ascii="Times New Roman" w:hAnsi="Times New Roman" w:cs="Times New Roman"/>
          <w:sz w:val="28"/>
          <w:szCs w:val="28"/>
        </w:rPr>
        <w:t xml:space="preserve">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по ликвидации последствий возникших на них аварий, катастроф;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54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выполнять иные требования, предусмотренные настоящим Кодексом, федеральными </w:t>
      </w:r>
      <w:hyperlink r:id="rId8" w:tooltip="https://www.consultant.ru/document/cons_doc_LAW_33773/51d520c975d3bf8bdb9ec6970f385e5933d47950/#" w:history="1">
        <w:r>
          <w:rPr>
            <w:rFonts w:ascii="Times New Roman" w:hAnsi="Times New Roman" w:cs="Times New Roman"/>
            <w:sz w:val="28"/>
            <w:szCs w:val="28"/>
          </w:rPr>
          <w:t xml:space="preserve"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 статьи 13 ЗК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собственники земельных участков, землепользователи, землевладельцы и арендаторы земельных участков обязаны проводить мероприятия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защите сельскохозяйственных угодий от зарастания деревьями и кустарниками, сорными растениями, сохранению агролесомелиоративных насаждений, сохранению достигнутого уровня мелиорации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rPr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подпунктом 4 пункта 2 статьи 13 </w:t>
      </w:r>
      <w:r>
        <w:rPr>
          <w:rFonts w:ascii="Times New Roman" w:hAnsi="Times New Roman" w:cs="Times New Roman"/>
          <w:sz w:val="28"/>
          <w:szCs w:val="28"/>
        </w:rPr>
        <w:t xml:space="preserve">ЗК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целях охраны земель правообладатели земельных участков, обладатели публичного сервитута обязаны проводить мероприятия по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hyperlink r:id="rId9" w:tooltip="https://www.consultant.ru/document/cons_doc_LAW_511677/9a72d5c04977706fdffc9c4c1d0f6237631a74de/#dst1345" w:history="1">
        <w:r>
          <w:rPr>
            <w:rFonts w:ascii="Times New Roman" w:hAnsi="Times New Roman" w:cs="Times New Roman"/>
            <w:sz w:val="28"/>
            <w:szCs w:val="28"/>
          </w:rPr>
          <w:t xml:space="preserve">защите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земель от распространения опасных </w:t>
      </w:r>
      <w:hyperlink r:id="rId10" w:tooltip="https://www.consultant.ru/document/cons_doc_LAW_33773/56937c3e71a16317d6be39b0d52decf85830768a/#" w:history="1">
        <w:r>
          <w:rPr>
            <w:rFonts w:ascii="Times New Roman" w:hAnsi="Times New Roman" w:cs="Times New Roman"/>
            <w:sz w:val="28"/>
            <w:szCs w:val="28"/>
          </w:rPr>
          <w:t xml:space="preserve">видов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инвазивных (чужеродных) растений и уничтожению таких растений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 не должны допускать зарастание земель сорной растительностью, а так же выполнять противопожарные мероприятия (осуществлять опашку, выкашивание сухой травы и растительности, не допускать загрязнение земе</w:t>
      </w:r>
      <w:r>
        <w:rPr>
          <w:rFonts w:ascii="Times New Roman" w:hAnsi="Times New Roman" w:cs="Times New Roman"/>
          <w:sz w:val="28"/>
          <w:szCs w:val="28"/>
        </w:rPr>
        <w:t xml:space="preserve">льных участков мусором и горючими материалами) во избежание возникновения пожаров. Именно земельные участки с указанными нарушениями становятся потенциальными источниками возгораний и способствуют распространению огня на лесные массивы и населенные пункты.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нарушение обязательных требований к использованию и охране </w:t>
      </w:r>
      <w:r>
        <w:rPr>
          <w:rFonts w:ascii="Times New Roman" w:hAnsi="Times New Roman" w:cs="Times New Roman"/>
          <w:sz w:val="28"/>
          <w:szCs w:val="28"/>
        </w:rPr>
        <w:t xml:space="preserve">объектов земельных отношений, правил пожарной безопасности законом предусмотрена административная, </w:t>
      </w:r>
      <w:r>
        <w:rPr>
          <w:rFonts w:ascii="Times New Roman" w:hAnsi="Times New Roman" w:cs="Times New Roman"/>
          <w:sz w:val="28"/>
          <w:szCs w:val="28"/>
        </w:rPr>
        <w:t xml:space="preserve">а так же уголовная ответственность.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в случае приобретения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с нарушениями ответственность за их устранение несет новый собственник.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  <w:style w:type="paragraph" w:styleId="816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/document/cons_doc_LAW_33773/51d520c975d3bf8bdb9ec6970f385e5933d47950/#" TargetMode="External"/><Relationship Id="rId9" Type="http://schemas.openxmlformats.org/officeDocument/2006/relationships/hyperlink" Target="https://www.consultant.ru/document/cons_doc_LAW_511677/9a72d5c04977706fdffc9c4c1d0f6237631a74de/#dst1345" TargetMode="External"/><Relationship Id="rId10" Type="http://schemas.openxmlformats.org/officeDocument/2006/relationships/hyperlink" Target="https://www.consultant.ru/document/cons_doc_LAW_33773/56937c3e71a16317d6be39b0d52decf85830768a/#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2026-06-18T05:36:51Z</dcterms:modified>
</cp:coreProperties>
</file>