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форм документов для осуществления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Серебряные Пруды Московской области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</w:t>
      </w:r>
      <w:r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со статьей 72 Земельного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решением Совета депутатов муниципального округа Серебряные Пруды Московской области от 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17.01.2025 № 271/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40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«Об утверждении Положения о муниципальном земельном контроле на территории муниципального округа Серебряные Пруды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области,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ПОСТАНОВЛЯЮ: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5"/>
        <w:numPr>
          <w:ilvl w:val="0"/>
          <w:numId w:val="2"/>
        </w:num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25"/>
        <w:numPr>
          <w:ilvl w:val="1"/>
          <w:numId w:val="2"/>
        </w:num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выездного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</w:t>
      </w:r>
      <w:r>
        <w:rPr>
          <w:rFonts w:ascii="Times New Roman" w:hAnsi="Times New Roman" w:cs="Times New Roman"/>
          <w:sz w:val="28"/>
          <w:szCs w:val="28"/>
        </w:rPr>
        <w:t xml:space="preserve">ного(-ых)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участка(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</w:t>
      </w:r>
      <w:r>
        <w:rPr>
          <w:rFonts w:ascii="Times New Roman" w:hAnsi="Times New Roman" w:cs="Times New Roman"/>
          <w:sz w:val="28"/>
          <w:szCs w:val="28"/>
        </w:rPr>
        <w:t xml:space="preserve">я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25"/>
        <w:numPr>
          <w:ilvl w:val="1"/>
          <w:numId w:val="2"/>
        </w:num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наблюдения 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муниципального земельн</w:t>
      </w:r>
      <w:r>
        <w:rPr>
          <w:rFonts w:ascii="Times New Roman" w:hAnsi="Times New Roman" w:cs="Times New Roman"/>
          <w:sz w:val="28"/>
          <w:szCs w:val="28"/>
        </w:rPr>
        <w:t xml:space="preserve">ого контроля (</w:t>
      </w: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5"/>
        <w:numPr>
          <w:ilvl w:val="1"/>
          <w:numId w:val="2"/>
        </w:num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   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выезд</w:t>
      </w:r>
      <w:r>
        <w:rPr>
          <w:rFonts w:ascii="Times New Roman" w:hAnsi="Times New Roman" w:cs="Times New Roman"/>
          <w:sz w:val="28"/>
          <w:szCs w:val="28"/>
        </w:rPr>
        <w:t xml:space="preserve">ного     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1.4</w:t>
        <w:tab/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Форму задания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наблюдения за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ребований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Приложение 4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</w:t>
        <w:tab/>
        <w:t xml:space="preserve">Фо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пров</w:t>
      </w:r>
      <w:r>
        <w:rPr>
          <w:rFonts w:ascii="Times New Roman" w:hAnsi="Times New Roman" w:cs="Times New Roman"/>
          <w:sz w:val="28"/>
          <w:szCs w:val="28"/>
        </w:rPr>
        <w:t xml:space="preserve">едения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Приложение 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1.6</w:t>
        <w:tab/>
        <w:t xml:space="preserve">Форму мотивированного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нарушения обязательных требований 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0"/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1.7</w:t>
        <w:tab/>
      </w:r>
      <w:r>
        <w:rPr>
          <w:rFonts w:ascii="Times New Roman" w:hAnsi="Times New Roman" w:cs="Times New Roman"/>
          <w:sz w:val="28"/>
          <w:szCs w:val="28"/>
        </w:rPr>
        <w:t xml:space="preserve">Форму мотивированного представления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(надзорного)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</w:t>
        <w:tab/>
        <w:t xml:space="preserve">Форму мотивированного представления об </w:t>
      </w:r>
      <w:r>
        <w:rPr>
          <w:rFonts w:ascii="Times New Roman" w:hAnsi="Times New Roman" w:cs="Times New Roman"/>
          <w:sz w:val="28"/>
          <w:szCs w:val="28"/>
        </w:rPr>
        <w:t xml:space="preserve">отсутствии </w:t>
      </w:r>
      <w:r>
        <w:rPr>
          <w:rFonts w:ascii="Times New Roman" w:hAnsi="Times New Roman" w:cs="Times New Roman"/>
          <w:sz w:val="28"/>
          <w:szCs w:val="28"/>
        </w:rPr>
        <w:t xml:space="preserve">основания для проведения контрольного (надзорного) м</w:t>
      </w:r>
      <w:r>
        <w:rPr>
          <w:rFonts w:ascii="Times New Roman" w:hAnsi="Times New Roman" w:cs="Times New Roman"/>
          <w:sz w:val="28"/>
          <w:szCs w:val="28"/>
        </w:rPr>
        <w:t xml:space="preserve">ероприятия 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</w:t>
        <w:tab/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 xml:space="preserve">предписания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Приложение 9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</w:t>
      </w:r>
      <w:r>
        <w:rPr>
          <w:rFonts w:ascii="Times New Roman" w:hAnsi="Times New Roman" w:cs="Times New Roman"/>
          <w:sz w:val="28"/>
          <w:szCs w:val="28"/>
        </w:rPr>
        <w:t xml:space="preserve">Приложение 10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</w:t>
        <w:tab/>
      </w:r>
      <w:r>
        <w:rPr>
          <w:rFonts w:ascii="Times New Roman" w:hAnsi="Times New Roman" w:cs="Times New Roman"/>
          <w:sz w:val="28"/>
          <w:szCs w:val="28"/>
        </w:rPr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ротокол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иложение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</w:t>
        <w:tab/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ротокол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инструментального </w:t>
      </w:r>
      <w:r>
        <w:rPr>
          <w:rFonts w:ascii="Times New Roman" w:hAnsi="Times New Roman" w:cs="Times New Roman"/>
          <w:sz w:val="28"/>
          <w:szCs w:val="28"/>
        </w:rPr>
        <w:t xml:space="preserve">обсл</w:t>
      </w:r>
      <w:r>
        <w:rPr>
          <w:rFonts w:ascii="Times New Roman" w:hAnsi="Times New Roman" w:cs="Times New Roman"/>
          <w:sz w:val="28"/>
          <w:szCs w:val="28"/>
        </w:rPr>
        <w:t xml:space="preserve">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1.13</w:t>
        <w:tab/>
      </w:r>
      <w:r>
        <w:rPr>
          <w:rFonts w:ascii="Times New Roman" w:hAnsi="Times New Roman" w:cs="Times New Roman"/>
          <w:sz w:val="28"/>
          <w:szCs w:val="28"/>
        </w:rPr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ротокол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Приложение 13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jc w:val="both"/>
        <w:spacing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</w:t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утратившим силу постановление администрации городского округа Серебряные Пруды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25.02.2022 № 232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форм документов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  <w:tab/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Опубликовать настоящее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постановление в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сетевом издании «Городской округ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Сере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бряные Пруды», доменное имя сайта в информационно-телекоммуникационной сети «Интернет»: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val="en-US"/>
        </w:rPr>
      </w:r>
      <w:hyperlink r:id="rId9" w:tooltip="https://www.spadm.ru/" w:history="1">
        <w:r>
          <w:rPr>
            <w:rStyle w:val="803"/>
            <w:rFonts w:ascii="Times New Roman" w:hAnsi="Times New Roman" w:eastAsia="Times New Roman" w:cs="Times New Roman"/>
            <w:sz w:val="28"/>
            <w:szCs w:val="24"/>
            <w:highlight w:val="none"/>
            <w:lang w:val="en-US"/>
          </w:rPr>
          <w:t xml:space="preserve">https://www.spadm.ru/</w:t>
        </w:r>
        <w:r>
          <w:rPr>
            <w:rStyle w:val="803"/>
            <w:rFonts w:ascii="Times New Roman" w:hAnsi="Times New Roman" w:eastAsia="Times New Roman" w:cs="Times New Roman"/>
            <w:sz w:val="28"/>
            <w:szCs w:val="24"/>
            <w:highlight w:val="none"/>
            <w:lang w:val="en-US"/>
          </w:rPr>
        </w:r>
        <w:r>
          <w:rPr>
            <w:rStyle w:val="803"/>
            <w:rFonts w:ascii="Times New Roman" w:hAnsi="Times New Roman" w:eastAsia="Times New Roman" w:cs="Times New Roman"/>
            <w:sz w:val="28"/>
            <w:szCs w:val="24"/>
            <w:highlight w:val="none"/>
            <w:lang w:eastAsia="ru-RU"/>
          </w:rPr>
        </w:r>
      </w:hyperlink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  <w:tab/>
        <w:t xml:space="preserve">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  <w:tab/>
        <w:t xml:space="preserve">Контроль за исполнением настоящего постановления оставляю за собой.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                         О.В. Павлихин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isLgl w:val="false"/>
      <w:suff w:val="tab"/>
      <w:lvlText w:val="%1.%2"/>
      <w:lvlJc w:val="left"/>
      <w:pPr>
        <w:ind w:left="735" w:hanging="375"/>
      </w:pPr>
      <w:rPr>
        <w:rFonts w:hint="default" w:ascii="Times New Roman" w:hAnsi="Times New Roman" w:eastAsia="Times New Roman" w:cs="Times New Roman"/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1"/>
    <w:next w:val="82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1"/>
    <w:next w:val="821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1"/>
    <w:next w:val="821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1"/>
    <w:next w:val="821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1"/>
    <w:next w:val="821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1"/>
    <w:next w:val="821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1"/>
    <w:next w:val="821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1"/>
    <w:next w:val="821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1"/>
    <w:next w:val="821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basedOn w:val="822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2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2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2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List Paragraph"/>
    <w:basedOn w:val="821"/>
    <w:uiPriority w:val="34"/>
    <w:qFormat/>
    <w:pPr>
      <w:contextualSpacing/>
      <w:ind w:left="720"/>
    </w:pPr>
  </w:style>
  <w:style w:type="paragraph" w:styleId="826">
    <w:name w:val="Balloon Text"/>
    <w:basedOn w:val="821"/>
    <w:link w:val="82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7" w:customStyle="1">
    <w:name w:val="Текст выноски Знак"/>
    <w:basedOn w:val="822"/>
    <w:link w:val="82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spad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</cp:revision>
  <dcterms:created xsi:type="dcterms:W3CDTF">2022-02-14T13:17:00Z</dcterms:created>
  <dcterms:modified xsi:type="dcterms:W3CDTF">2025-01-20T14:00:58Z</dcterms:modified>
</cp:coreProperties>
</file>