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</w:pPr>
      <w:r>
        <w:t xml:space="preserve">ФОРМА ПРОВЕРОЧНОГО ЛИСТА</w:t>
      </w:r>
      <w:r/>
      <w:r/>
    </w:p>
    <w:p>
      <w:pPr>
        <w:pStyle w:val="674"/>
        <w:jc w:val="center"/>
      </w:pPr>
      <w:r>
        <w:t xml:space="preserve">(СПИСКА КОНТРОЛЬНЫХ ВОПРОСОВ), ПРИМЕНЯЕМОГО</w:t>
      </w:r>
      <w:r/>
      <w:r/>
    </w:p>
    <w:p>
      <w:pPr>
        <w:pStyle w:val="674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/>
      <w:r/>
      <w:r/>
      <w:r/>
    </w:p>
    <w:p>
      <w:pPr>
        <w:pStyle w:val="674"/>
        <w:jc w:val="center"/>
      </w:pPr>
      <w:r/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</w:t>
      </w:r>
      <w:r>
        <w:rPr>
          <w:rFonts w:ascii="Times New Roman" w:hAnsi="Times New Roman" w:cs="Times New Roman"/>
          <w:sz w:val="24"/>
          <w:szCs w:val="24"/>
        </w:rPr>
        <w:t xml:space="preserve"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5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</w:t>
      </w:r>
      <w:r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(адрес)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5"/>
        <w:ind w:left="4111" w:right="566"/>
        <w:jc w:val="center"/>
        <w:tabs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675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5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общественное использование ОКС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186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3180"/>
        <w:gridCol w:w="2410"/>
        <w:gridCol w:w="567"/>
        <w:gridCol w:w="567"/>
        <w:gridCol w:w="1275"/>
        <w:gridCol w:w="162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применяется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имеет обозначение на местности (забор, колы</w:t>
            </w:r>
            <w:r>
              <w:rPr>
                <w:rFonts w:ascii="Times New Roman" w:hAnsi="Times New Roman" w:cs="Times New Roman"/>
              </w:rPr>
              <w:t xml:space="preserve">шки, строительная лента </w:t>
              <w:br w:type="textWrapping" w:clear="all"/>
              <w:t xml:space="preserve">и др.)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правоудостоверяющем документе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</w:t>
            </w:r>
            <w:r>
              <w:rPr>
                <w:rFonts w:ascii="Times New Roman" w:hAnsi="Times New Roman" w:cs="Times New Roman"/>
              </w:rPr>
              <w:t xml:space="preserve"> случае если такие документы не</w:t>
            </w:r>
            <w:r>
              <w:rPr>
                <w:rFonts w:ascii="Times New Roman" w:hAnsi="Times New Roman" w:cs="Times New Roman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</w:instrText>
            </w:r>
            <w:r>
              <w:rPr>
                <w:rFonts w:ascii="Times New Roman" w:hAnsi="Times New Roman" w:cs="Times New Roman"/>
              </w:rPr>
              <w:instrText xml:space="preserve">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(здания, сооружения или др. строения), расположенные или возводимые на з.у.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используется для общественных нужд (ателье, больницы, школы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не используется для иных целей (свалки, АЗС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рвы, траншеи, провалы грунта, снятый плодородный слой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признаки неиспользования земельного участка (залесенность, закустаренность, участок зарастает сорными травами)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неиспользования земельного участка, предназначенного для общественного использования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74"/>
        <w:jc w:val="both"/>
      </w:pPr>
      <w:r/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проверочного листа)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75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75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___________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лица,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10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rPr>
        <w:sz w:val="18"/>
        <w:szCs w:val="18"/>
      </w:rPr>
    </w:pPr>
    <w:r>
      <w:rPr>
        <w:sz w:val="18"/>
        <w:szCs w:val="18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</w:rPr>
      <w:t xml:space="preserve">3</w:t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к постановлению администрации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Московской области</w:t>
    </w:r>
    <w:r>
      <w:rPr>
        <w:rFonts w:ascii="Times New Roman" w:hAnsi="Times New Roman"/>
        <w:sz w:val="24"/>
        <w:szCs w:val="24"/>
      </w:rPr>
    </w:r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  <w:highlight w:val="none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>
      <w:rPr>
        <w:rFonts w:ascii="Times New Roman" w:hAnsi="Times New Roman"/>
        <w:sz w:val="24"/>
        <w:szCs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highlight w:val="none"/>
      </w:rPr>
    </w:r>
    <w:r>
      <w:rPr>
        <w:rFonts w:ascii="Times New Roman" w:hAnsi="Times New Roman"/>
        <w:sz w:val="24"/>
        <w:szCs w:val="24"/>
        <w:highlight w:val="none"/>
      </w:rPr>
    </w:r>
  </w:p>
  <w:tbl>
    <w:tblPr>
      <w:tblW w:w="1550" w:type="dxa"/>
      <w:tblInd w:w="867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tcW w:w="1550" w:type="dxa"/>
          <w:vAlign w:val="center"/>
          <w:textDirection w:val="lrTb"/>
          <w:noWrap w:val="false"/>
        </w:tcPr>
        <w:p>
          <w:pPr>
            <w:pStyle w:val="683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>
            <w:rPr>
              <w:lang w:val="en-US"/>
            </w:rPr>
          </w:r>
          <w:r/>
        </w:p>
      </w:tc>
    </w:tr>
  </w:tbl>
  <w:p>
    <w:pPr>
      <w:pStyle w:val="683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671">
    <w:name w:val="Основной шрифт абзаца"/>
    <w:next w:val="671"/>
    <w:link w:val="670"/>
    <w:uiPriority w:val="1"/>
    <w:unhideWhenUsed/>
  </w:style>
  <w:style w:type="table" w:styleId="672">
    <w:name w:val="Обычная таблица"/>
    <w:next w:val="672"/>
    <w:link w:val="670"/>
    <w:uiPriority w:val="99"/>
    <w:semiHidden/>
    <w:unhideWhenUsed/>
    <w:tblPr/>
  </w:style>
  <w:style w:type="numbering" w:styleId="673">
    <w:name w:val="Нет списка"/>
    <w:next w:val="673"/>
    <w:link w:val="670"/>
    <w:uiPriority w:val="99"/>
    <w:semiHidden/>
    <w:unhideWhenUsed/>
  </w:style>
  <w:style w:type="paragraph" w:styleId="674">
    <w:name w:val="ConsPlusNormal"/>
    <w:next w:val="674"/>
    <w:link w:val="670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5">
    <w:name w:val="ConsPlusNonformat"/>
    <w:next w:val="675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6">
    <w:name w:val="ConsPlusTitle"/>
    <w:next w:val="676"/>
    <w:link w:val="670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7">
    <w:name w:val="ConsPlusCell"/>
    <w:next w:val="677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8">
    <w:name w:val="ConsPlusDocList"/>
    <w:next w:val="678"/>
    <w:link w:val="670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79">
    <w:name w:val="ConsPlusTitlePage"/>
    <w:next w:val="679"/>
    <w:link w:val="670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80">
    <w:name w:val="ConsPlusJurTerm"/>
    <w:next w:val="680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1">
    <w:name w:val="ConsPlusTextList"/>
    <w:next w:val="681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2">
    <w:name w:val="ConsPlusTextList1"/>
    <w:next w:val="682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3">
    <w:name w:val="Верхний колонтитул"/>
    <w:basedOn w:val="670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 Знак"/>
    <w:next w:val="684"/>
    <w:link w:val="683"/>
    <w:uiPriority w:val="99"/>
    <w:rPr>
      <w:rFonts w:cs="Times New Roman"/>
    </w:rPr>
  </w:style>
  <w:style w:type="paragraph" w:styleId="685">
    <w:name w:val="Нижний колонтитул"/>
    <w:basedOn w:val="670"/>
    <w:next w:val="68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>
    <w:name w:val="Нижний колонтитул Знак"/>
    <w:next w:val="686"/>
    <w:link w:val="685"/>
    <w:uiPriority w:val="99"/>
    <w:rPr>
      <w:rFonts w:cs="Times New Roman"/>
    </w:rPr>
  </w:style>
  <w:style w:type="character" w:styleId="687">
    <w:name w:val="Гиперссылка"/>
    <w:next w:val="687"/>
    <w:link w:val="670"/>
    <w:uiPriority w:val="99"/>
    <w:unhideWhenUsed/>
    <w:rPr>
      <w:rFonts w:cs="Times New Roman"/>
      <w:color w:val="0563c1"/>
      <w:u w:val="single"/>
    </w:rPr>
  </w:style>
  <w:style w:type="character" w:styleId="688">
    <w:name w:val="Просмотренная гиперссылка"/>
    <w:next w:val="688"/>
    <w:link w:val="670"/>
    <w:uiPriority w:val="99"/>
    <w:semiHidden/>
    <w:unhideWhenUsed/>
    <w:rPr>
      <w:rFonts w:cs="Times New Roman"/>
      <w:color w:val="954f72"/>
      <w:u w:val="single"/>
    </w:rPr>
  </w:style>
  <w:style w:type="table" w:styleId="689">
    <w:name w:val="Сетка таблицы"/>
    <w:basedOn w:val="672"/>
    <w:next w:val="689"/>
    <w:link w:val="670"/>
    <w:uiPriority w:val="39"/>
    <w:pPr>
      <w:spacing w:after="0" w:line="240" w:lineRule="auto"/>
    </w:pPr>
    <w:tblPr/>
  </w:style>
  <w:style w:type="paragraph" w:styleId="690">
    <w:name w:val="Текст выноски"/>
    <w:basedOn w:val="670"/>
    <w:next w:val="690"/>
    <w:link w:val="69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>
    <w:name w:val="Текст выноски Знак"/>
    <w:next w:val="691"/>
    <w:link w:val="690"/>
    <w:uiPriority w:val="99"/>
    <w:rPr>
      <w:rFonts w:ascii="Segoe UI" w:hAnsi="Segoe UI" w:cs="Segoe UI"/>
      <w:sz w:val="18"/>
      <w:szCs w:val="18"/>
    </w:rPr>
  </w:style>
  <w:style w:type="character" w:styleId="2716" w:default="1">
    <w:name w:val="Default Paragraph Font"/>
    <w:uiPriority w:val="1"/>
    <w:semiHidden/>
    <w:unhideWhenUsed/>
  </w:style>
  <w:style w:type="numbering" w:styleId="2717" w:default="1">
    <w:name w:val="No List"/>
    <w:uiPriority w:val="99"/>
    <w:semiHidden/>
    <w:unhideWhenUsed/>
  </w:style>
  <w:style w:type="table" w:styleId="27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revision>5</cp:revision>
  <dcterms:created xsi:type="dcterms:W3CDTF">2022-02-11T06:46:00Z</dcterms:created>
  <dcterms:modified xsi:type="dcterms:W3CDTF">2024-12-25T09:39:36Z</dcterms:modified>
  <cp:version>983040</cp:version>
</cp:coreProperties>
</file>