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315" w:type="dxa"/>
        <w:tblLayout w:type="fixed"/>
        <w:tblLook w:val="01E0" w:firstRow="1" w:lastRow="1" w:firstColumn="1" w:lastColumn="1" w:noHBand="0" w:noVBand="0"/>
      </w:tblPr>
      <w:tblGrid>
        <w:gridCol w:w="3288"/>
        <w:gridCol w:w="340"/>
        <w:gridCol w:w="3400"/>
        <w:gridCol w:w="1587"/>
        <w:gridCol w:w="1700"/>
      </w:tblGrid>
      <w:tr w:rsidR="00BD0BF8">
        <w:trPr>
          <w:trHeight w:val="230"/>
        </w:trPr>
        <w:tc>
          <w:tcPr>
            <w:tcW w:w="1031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jc w:val="center"/>
              <w:rPr>
                <w:b/>
                <w:bCs/>
                <w:color w:val="000000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</w:tr>
      <w:tr w:rsidR="00BD0BF8">
        <w:trPr>
          <w:trHeight w:val="230"/>
        </w:trPr>
        <w:tc>
          <w:tcPr>
            <w:tcW w:w="1031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D0BF8">
        <w:tc>
          <w:tcPr>
            <w:tcW w:w="8615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BD0BF8">
        <w:tc>
          <w:tcPr>
            <w:tcW w:w="702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0503160</w:t>
            </w:r>
          </w:p>
        </w:tc>
      </w:tr>
      <w:tr w:rsidR="00BD0BF8"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37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7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40"/>
            </w:tblGrid>
            <w:tr w:rsidR="00BD0BF8">
              <w:trPr>
                <w:jc w:val="center"/>
              </w:trPr>
              <w:tc>
                <w:tcPr>
                  <w:tcW w:w="3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jc w:val="center"/>
                  </w:pPr>
                  <w:r>
                    <w:rPr>
                      <w:color w:val="000000"/>
                    </w:rPr>
                    <w:t>на 1 января 2024 года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</w:tr>
      <w:tr w:rsidR="00BD0BF8">
        <w:trPr>
          <w:trHeight w:val="226"/>
        </w:trPr>
        <w:tc>
          <w:tcPr>
            <w:tcW w:w="702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BD0BF8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  <w:jc w:val="center"/>
                  </w:pP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26"/>
        </w:trPr>
        <w:tc>
          <w:tcPr>
            <w:tcW w:w="702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26"/>
        </w:trPr>
        <w:tc>
          <w:tcPr>
            <w:tcW w:w="702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88913889</w:t>
            </w:r>
          </w:p>
        </w:tc>
      </w:tr>
      <w:tr w:rsidR="00BD0BF8">
        <w:trPr>
          <w:trHeight w:val="226"/>
        </w:trPr>
        <w:tc>
          <w:tcPr>
            <w:tcW w:w="702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  <w:jc w:val="center"/>
            </w:pPr>
          </w:p>
        </w:tc>
      </w:tr>
      <w:tr w:rsidR="00BD0BF8">
        <w:trPr>
          <w:trHeight w:val="226"/>
        </w:trPr>
        <w:tc>
          <w:tcPr>
            <w:tcW w:w="702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  <w:jc w:val="center"/>
            </w:pPr>
          </w:p>
        </w:tc>
      </w:tr>
      <w:tr w:rsidR="00BD0BF8">
        <w:trPr>
          <w:trHeight w:val="680"/>
        </w:trPr>
        <w:tc>
          <w:tcPr>
            <w:tcW w:w="362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A35D96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Финансовое управление администрации городского округа Серебряные Пруды Московской области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</w:tr>
      <w:tr w:rsidR="00BD0BF8">
        <w:trPr>
          <w:trHeight w:val="226"/>
        </w:trPr>
        <w:tc>
          <w:tcPr>
            <w:tcW w:w="362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г. Серебрянные Пруды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  <w:jc w:val="center"/>
            </w:pPr>
          </w:p>
        </w:tc>
      </w:tr>
      <w:tr w:rsidR="00BD0BF8">
        <w:tc>
          <w:tcPr>
            <w:tcW w:w="362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BD0BF8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jc w:val="center"/>
                  </w:pPr>
                  <w:r>
                    <w:rPr>
                      <w:color w:val="000000"/>
                    </w:rPr>
                    <w:t>46772000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hidden/>
        </w:trPr>
        <w:tc>
          <w:tcPr>
            <w:tcW w:w="702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rPr>
                <w:vanish/>
              </w:rPr>
            </w:pPr>
          </w:p>
          <w:tbl>
            <w:tblPr>
              <w:tblOverlap w:val="never"/>
              <w:tblW w:w="70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8"/>
            </w:tblGrid>
            <w:tr w:rsidR="00BD0BF8">
              <w:tc>
                <w:tcPr>
                  <w:tcW w:w="70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r>
                    <w:rPr>
                      <w:color w:val="000000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  <w:jc w:val="center"/>
            </w:pPr>
          </w:p>
        </w:tc>
      </w:tr>
      <w:tr w:rsidR="00BD0BF8">
        <w:trPr>
          <w:hidden/>
        </w:trPr>
        <w:tc>
          <w:tcPr>
            <w:tcW w:w="702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rPr>
                <w:vanish/>
              </w:rPr>
            </w:pPr>
          </w:p>
          <w:tbl>
            <w:tblPr>
              <w:tblOverlap w:val="never"/>
              <w:tblW w:w="70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8"/>
            </w:tblGrid>
            <w:tr w:rsidR="00BD0BF8">
              <w:tc>
                <w:tcPr>
                  <w:tcW w:w="70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r>
                    <w:rPr>
                      <w:color w:val="000000"/>
                    </w:rPr>
                    <w:t>Единица измерения: руб.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A35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</w:tbl>
    <w:p w:rsidR="00BD0BF8" w:rsidRDefault="00BD0BF8">
      <w:pPr>
        <w:rPr>
          <w:vanish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267"/>
        <w:gridCol w:w="623"/>
        <w:gridCol w:w="623"/>
        <w:gridCol w:w="283"/>
        <w:gridCol w:w="2834"/>
        <w:gridCol w:w="1700"/>
        <w:gridCol w:w="1984"/>
      </w:tblGrid>
      <w:tr w:rsidR="00BD0BF8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A35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</w:tr>
      <w:tr w:rsidR="00BD0BF8">
        <w:trPr>
          <w:trHeight w:val="322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A35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D0BF8" w:rsidRDefault="00A3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BD0BF8" w:rsidRDefault="00A35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D0BF8">
        <w:trPr>
          <w:trHeight w:val="230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1.1 Наименование субъекта отчетности (полное): Финансовое управление администрации городского округа Серебряные Пруды Московской области, наименование субъекта отчетности (сокращенное): ФУ администрации городского округа Серебряные Пруды МО.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1.2 Степень обобщения отчетности: консолидированная.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1.3 Ответственным за составление и представление бухгалтерской отчетности в централизованной бухгалтерии является главный бухгалтер Ломова Людмила Викторовна. Ответственным за составление и представл</w:t>
                  </w:r>
                  <w:r>
                    <w:rPr>
                      <w:color w:val="000000"/>
                      <w:sz w:val="28"/>
                      <w:szCs w:val="28"/>
                    </w:rPr>
                    <w:t>ение бухгалтерской отчетности в Финансовом управлении является заместитель начальника финансового управления – главный бухгалтер Дынникова Олеся Сергеевна.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1.4 Присвоены следующие коды общероссийского классификатора: ИНН 5076008545, КПП 507601001, ОКПО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88913889, ОКОГУ 3300200, ОКТМО 46772000000, ОКВЭД 84113, ОКФС , ОКОПФ , код по сводному реестру 463D0844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1.5 Перечень открытых лицевых счетов Финансового управления: 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лицевой счет бюджета;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лицевой счет главного распорядителя (распорядителя) бюджетных средств;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лицевой счет получателя бюджетных средств; 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лицевой счет администратора доходов;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лицевой счет для учета операций со средствами, поступающими во временное распоряжение полу</w:t>
                  </w:r>
                  <w:r>
                    <w:rPr>
                      <w:color w:val="000000"/>
                      <w:sz w:val="28"/>
                      <w:szCs w:val="28"/>
                    </w:rPr>
                    <w:t>чателя бюджетных средств. 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1.6 Основными задачами субъекта отчетности Финансовое управление администрации городского округа Серебряные Пруды Московской области являются: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осуществление единой финансовой, бюджетной и налоговой политики на территории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городского округа,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-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округа,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осуществление единого бухгалтерского учета по исполнению бюджета городского округа, составление бюджетной отчетности городского округа. 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1.7 Ведение бухгалтерского учета во всех учреждениях осуществляется автоматизированным способом с применением про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граммного обеспечения «1С:Предприятие».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Представленные показатели бухгалтерской (финансовой) отчетности сформированы исходя из нормативных правовых актов, регулирующих ведение бухгалтерского учета и составление бухгалтерской (финансовой) отчетности.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Ин</w:t>
                  </w:r>
                  <w:r>
                    <w:rPr>
                      <w:color w:val="000000"/>
                      <w:sz w:val="28"/>
                      <w:szCs w:val="28"/>
                    </w:rPr>
                    <w:t>формация о деятельности органов местного самоуправления городского округа, о муниципальных программах, муниципальных услугах, об исполнении бюджета и многое другое публикуется на официальном сайте администрации городского округа www.spadm.ru. 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1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</w:tbl>
    <w:p w:rsidR="00BD0BF8" w:rsidRDefault="00BD0BF8">
      <w:pPr>
        <w:rPr>
          <w:vanish/>
        </w:rPr>
      </w:pPr>
      <w:bookmarkStart w:id="3" w:name="__bookmark_4"/>
      <w:bookmarkEnd w:id="3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267"/>
        <w:gridCol w:w="623"/>
        <w:gridCol w:w="623"/>
        <w:gridCol w:w="283"/>
        <w:gridCol w:w="2834"/>
        <w:gridCol w:w="1700"/>
        <w:gridCol w:w="1984"/>
      </w:tblGrid>
      <w:tr w:rsidR="00BD0BF8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</w:tr>
      <w:tr w:rsidR="00BD0BF8">
        <w:trPr>
          <w:trHeight w:val="322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A35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D0BF8" w:rsidRDefault="00A3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BD0BF8" w:rsidRDefault="00A35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D0BF8">
        <w:trPr>
          <w:trHeight w:val="230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2.1 Для достижения показателей результативности учреждениями городского округа в бюджете были запланированы расходы в сумме 2 736 736 484,01 руб., израсходовано в отчетном периоде было 2 507 803 486,71  руб. Данные расходы осуществлялись в целях выполнения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17ти муниципальных программ, исполнение составило 91,63% от плана.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2.3 Информация отсутствует. 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1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</w:tbl>
    <w:p w:rsidR="00BD0BF8" w:rsidRDefault="00BD0BF8">
      <w:pPr>
        <w:rPr>
          <w:vanish/>
        </w:rPr>
      </w:pPr>
      <w:bookmarkStart w:id="4" w:name="__bookmark_5"/>
      <w:bookmarkEnd w:id="4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267"/>
        <w:gridCol w:w="623"/>
        <w:gridCol w:w="623"/>
        <w:gridCol w:w="283"/>
        <w:gridCol w:w="2834"/>
        <w:gridCol w:w="1700"/>
        <w:gridCol w:w="1984"/>
      </w:tblGrid>
      <w:tr w:rsidR="00BD0BF8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</w:tr>
      <w:tr w:rsidR="00BD0BF8">
        <w:trPr>
          <w:trHeight w:val="322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A35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D0BF8" w:rsidRDefault="00A3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BD0BF8" w:rsidRDefault="00A35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D0BF8">
        <w:trPr>
          <w:trHeight w:val="230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3.1 Информация, характеризующая результаты исполнения положений текстовых статей закона (решения) о бюджете, представлена в Таблице 3.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3.3 Бюджет городского округа Серебряные Пруды Московской области по доходам выполнен на 103,14%, в том числе по налоговым и неналоговым доходам - на 114,79 %. 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Всего в бюджет поступило доходов в объеме 2 436 471 455 рублей 92 копейки, при уточненном план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 2 362 260 192 рубля 60 копеек. Удельный вес налоговых и неналоговых доходов в общем объеме бюджета составил 28,55%.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Отклонения от плановых назначений сложились по следующим доходным источникам:                                                         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1. По налогу на доходы физических лиц: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КБК 182 1 01 02 010 01 1000 110 плановые назначения выполнены на 117,11% (факт 477 653 650 рублей 64 копейки при плане 407 878 014 рублей);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КБК 182 1 01 02 030 01 1000 110 плановые назначения выполнены на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142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,36% (факт 7 118 021 рублей 86 копеек при плане 5 000 000 рублей);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КБК 182 1 01 02 040 01 1000 110 плановые назначения выполнены на 106,34 % (факт 568 909 рублей 25 копеек при плане 535 000 рублей);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КБК 182 1 01 02 080 01 1000 110 плановые назначен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ия выполнены на 1 176,10% (факт 2 493 321 рублей 69 копеек при плане 212 000 рублей);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КБК 182 1 01 02 130 01 1000 110 плановые назначения выполнены на 107,00% (факт 1 618 960 рублей при плане 1 513 000 рублей);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КБК 182 1 01 02 140 01 1000 110 плано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вые назначения выполнены на 363,11 % (факт 3 631 125 рублей 09 копеек при плане 1 000 000 рублей).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Плановые назначения выполнены более чем на 105% по налогу на доходы физических лиц в связи с введением с 2023 года ЕНС и ЕНП и изменением системы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платежей в бюджет. В соответствии с Налоговым кодексом РФ, в декабре срок подачи уведомления по исчисленному налогу в период с 23-го по 31-е число не позднее последнего рабочего дня года и так же этот же срок уплаты данного налога. В связи с этими положен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иями законодательства прогнозирование поступлений по налогу на доходы физических лиц за декабрь затруднено, поступления в нерабочие дни 30-31 декабря составили 30 265 241 рубль 13 копеек.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2. Акцизы по подакцизным товарам (продукции), производимым на территории Российской Федерации: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КБК 182 1 03 02 231 01 1000 110 плановые назначения выполнены на 110,21 % (факт 21 130 037 рублей 31 копеек при плане 19 173 000 рублей) в связи с уплатой 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лога в конце декабря 2023 года.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3. Налог, взимаемый в связи с применением упрощенной системы налогообложения: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КБК 182 1 05 01 011 01 1000 110 плановые назначения выполнены на 107,08% (факт  25 056 865 рублей 93 копеек при плане 23 400 000 рублей) в св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язи с поступлением в конце декабря 2023 года от отдельных индивидуальных предпринимателей и организаций задолженности по данному налогу.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КБК 182 1 05 01 012 01 1000 110 поступление налога не планировалось, МРИ ИФНС РФ № 9 по Московской области произвед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ен возврат переплаты из бюджета городского округа в сумме 58 240 рублей 50 копеек.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4.Единый налог на вмененный доход для отдельных видов деятельности: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КБК 182 1 05 02 010 02 1000 110 и КБК 182 1 05 02 010 02 3000 110 плановые показатели не установлен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ы, так как данный налог отменен. МРИ ИФНС РФ № 9 по Московской области произведен возврат переплаты из бюджета городского округа в сумме 95 852 рубля 68 копеек и поступили штрафы в сумме 1 465 рублей 80 копеек.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5.Налог, взимаемый в связи с применением пат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ентной системы налогообложения: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КБК 182 1 05 04 010 02 1000 110 плановые назначения выполнены на 87,94% (факт 2 754 321 рублей 33 копейки при плане 3 132 000 рублей), так как уплата производится не позднее срока окончания действия патента, т.е. до 31 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екабря текущего года, поступил налог в январе следующего года.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6. Налог, взимаемый в связи с применением специального налогового режима «Автоматизированная упрощенная система налогообложения»: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По КБК 182 1 05 07 000 01 1000 110 плановые назначе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ния выполнены на 122,92% (факт 105 708 рублей 51 копеек при плане 86 000 рублей) в связи с поступлением налога в последние дни декабря 2023 года.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7. Налог на имущество физических лиц, взимаемый по ставкам, применяемым к объектам налогообложения, расположе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нным в границах городских округов: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 По КБК 182 1 06 01 020 04 1000 110 плановые назначения выполнены на 120,15% (факт 15 893 799 рублей 99 копеек при плане 13 228 000рублей) в связи с поступлением налога в последние дни декабря 2023 года.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8.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Земельный налог: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По КБК 182 1 06 06 032 04 3000 110 плановые показатели не установлены, так как по данному КБК отражаются штрафы, взыскиваемые налоговыми органами (факт -1 224 рубля).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По КБК 182 1 06 06 042 04 1000 110 плановые назн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ачения выполнены на 107,75% (факт 25 823 811 рублей 27 копеек при плане 23 967 000рублей) в связи с поступлением налога в последние дни декабря 2023 года.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По КБК 182 1 06 06 042 04 3000 110 плановые показатели не установлены, так как по данному КБК отражаются штрафы, взыскиваемые налоговыми органами (факт -119 рублей).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9.Государственная пошлина: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По КБК 182 1 08 030 10 01 1060 110   возвра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 государственной пошлины по делам, рассматриваемым в судах общей юрисдикции, мировыми судьями в сумме -14 231 рублей 95копеек.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10. Доходы, получаемые в виде арендной платы за земельные участки, государственная собственность на которые не разграничена и к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оторые расположены в границах городских округов, а также средства от продажи права на заключение договоров аренды указанных земельных участков: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По КБК 001 1 11 05 012 04 0000 120 плановые назначения выполнены на 107,63 % (факт 14 584 185 рублей 08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копеек при плане 13 550 000 рублей) в связи с поступлением сумм арендной платы в счет предстоящих платежей 2024 года.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По КБК 001 1 11 05 024 04 0000 120 плановые назначения выполнены на 106,30 % (факт 1 821 981 рублей 86 копеек при плане 1 714 000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рублей) в связи с поступлением  в декабре 2023 года сумм арендной платы в счет предстоящих платежей 2024 года.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11. Доходы от сдачи в аренду имущества, составляющего казну городских округов (за исключением земельных участков):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По КБК 001 1 11 05 07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4 04 0000 120 плановые назначения выполнены на 109,12 % (факт 3 521 349 рублей 45 копеек при плане 3 227 000 рублей) в связи с поступлением  в декабре 2023 года сумм арендной платы в счет предстоящих платежей 2024 года.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12. Прочие поступления от использов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ания имущества, находящегося в собственности городских округов (за исключением имущества муниципальных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бюджетных и автономных учреждений, а также имущества муниципальных унитарных предприятий, в том числе казенных:       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По КБК 001 1 11 09 044 04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0002 120 плановые поступления по плате за пользование жилым помещением (плата за наем) для нанимателей жилых помещений, занимаемых по договорам социального найма жилых помещений муниципального жилищного фонда выполнены на 82,79 %, что объясняется наличием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задолженности по плате за наем.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По КБК 001 1 11 09 044 04 0003 120 плановые поступления по плате за размещение объектов на землях или земельных участках, находящихся в муниципальной собственности, или государственная собственность на которые не ра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зграничена выполнены на 118,80% в связи с поступлением платежей в последние дни декабря 2023 года.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13.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 на землях или земельных участках, государственная собственность на которые не разграничена: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По КБК 001 1 11 09 080 04 0002 120 плановые показатели за размещение нестационарного торгового объекта выполнены на 113,34% в связи с поступлением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платежей в последние дни декабря 2023 года (факт 5 666 рублей 84 копейки при плане 5 000 рублей).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14. Доходы от оказания платных услуг и компенсации затрат государства: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По КБК 001 1 13 02 064 04 0000 130 плановые показатели по доходам, посту</w:t>
                  </w:r>
                  <w:r>
                    <w:rPr>
                      <w:color w:val="000000"/>
                      <w:sz w:val="28"/>
                      <w:szCs w:val="28"/>
                    </w:rPr>
                    <w:t>пающим в порядке возмещения расходов, понесенных в связи с эксплуатацией имущества городских округов выполнены на 105,74% (план 1 400 000 рублей, факт 1 480 341 рублей 72 копеек). Перевыполнение плана в сумме 80 341 рублей 72 копейки сложилось в результате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поступления значительных сумм возмещения коммунальных услуг в конце декабря.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15. Доходы от продажи материальных и нематериальных ресурсов: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По КБК 001 1 14 06 312 04 0000 430 плановые показатели по плате за увеличение площади земельных участк</w:t>
                  </w:r>
                  <w:r>
                    <w:rPr>
                      <w:color w:val="000000"/>
                      <w:sz w:val="28"/>
                      <w:szCs w:val="28"/>
                    </w:rPr>
                    <w:t>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выполнены на 106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,88% (план 6 300 000 рублей, факт 6 733 280 рублей 18 копеек). Перевыполнение плана в сумме 433 280 рублей 18 копеек сложилось в результате поступления доходов в конце декабря.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16. Плановые показатели по штрафам, санкциям, возмещении ущерба в целом выполн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ены на 167,43 % (фактические поступления 11 832 104 рублей 11 копеек, при плане 7 066 734 рублей), что объясняется: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поступлением в последней декаде декабря пеней и штрафов, уплаченных за просрочку исполнения поставщиком (подрядчиком, исполнителем) муниц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ипальных контрактов (фактические поступления 5 656 610 рублей 78 копеек при плане 5 076 600 рублей);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- поступлением в последней декаде декабря возмещение ущерба, причиненного муниципальному имуществу городского округа в сумме 781 233 рублей 60 копеек.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> 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м казначейством между бюджетами субъектов Российской Федерации в соответствии с федеральным законом о федеральном бюджете 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зачисляются в бюджет городского округа по действующему нормативу, прогнозирование затруднено.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17. Прочие неналоговые доходы: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К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БК 001 1 17 15 020 04 0002 150120 плановые назначения выполнены на 93,35 % (факт 112 200 рублей 66 копеек при плане 120 190 рублей) в связи со снижением цены контракта по результатам проведения аукциона.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18. По плановым показателям безвозмездных поступлен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ий от других бюджетов бюджетной системы Российской Федерации (дотации, субсидии, субвенции, иные межбюджетные трансферты) уточнения в бюджет вносились на основании уведомлений Министерства экономики и финансов Московской области и главных распорядителей.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Отклонения фактических поступлений от уточненного плана объясняются тем, что денежные средства главными распорядителями заказывались под фактическую потребность, а плановые назначения (согласно уведомлениям МЭФ М.О.) по отдельным источникам остались бе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 уточнения. </w:t>
                  </w:r>
                </w:p>
                <w:p w:rsidR="00BD0BF8" w:rsidRDefault="00BD0BF8">
                  <w:pPr>
                    <w:ind w:firstLine="700"/>
                    <w:jc w:val="both"/>
                  </w:pPr>
                </w:p>
                <w:p w:rsidR="00BD0BF8" w:rsidRDefault="00BD0BF8">
                  <w:pPr>
                    <w:ind w:firstLine="700"/>
                    <w:jc w:val="both"/>
                  </w:pP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Бюджет городского округа Серебряные Пруды Московской области по расходам выполнен на 94,06%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3.4 Исполнение бюджета городского округа по расходам в рамках реализации национальных проектов при плановых показателях 115 601 998,01 руб. составило 111 521 180,80 руб., соответственно в процентном выражении 96,47%. Экономия образовалась в размере 4 080 8</w:t>
                  </w:r>
                  <w:r>
                    <w:rPr>
                      <w:color w:val="000000"/>
                      <w:sz w:val="28"/>
                      <w:szCs w:val="28"/>
                    </w:rPr>
                    <w:t>17,21 руб. по результатам проведения конкурсных процедур.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3.5 Для реализации бюджетными учреждениями национальных проектов за счет средств субсидии на иные цели утверждены плановые показатели в сумме 17 389 200,00 руб. Исполнение бюджета по расходам в </w:t>
                  </w:r>
                  <w:r>
                    <w:rPr>
                      <w:color w:val="000000"/>
                      <w:sz w:val="28"/>
                      <w:szCs w:val="28"/>
                    </w:rPr>
                    <w:t>рамках реализации национальных проектов (программ) в данном периоде составило 100%.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3.6 Информация отсутсвует.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1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</w:tbl>
    <w:p w:rsidR="00BD0BF8" w:rsidRDefault="00BD0BF8">
      <w:pPr>
        <w:rPr>
          <w:vanish/>
        </w:rPr>
      </w:pPr>
      <w:bookmarkStart w:id="5" w:name="__bookmark_6"/>
      <w:bookmarkEnd w:id="5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267"/>
        <w:gridCol w:w="623"/>
        <w:gridCol w:w="623"/>
        <w:gridCol w:w="283"/>
        <w:gridCol w:w="2834"/>
        <w:gridCol w:w="1700"/>
        <w:gridCol w:w="1984"/>
      </w:tblGrid>
      <w:tr w:rsidR="00BD0BF8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</w:tr>
      <w:tr w:rsidR="00BD0BF8">
        <w:trPr>
          <w:trHeight w:val="322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A35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D0BF8" w:rsidRDefault="00A3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BD0BF8" w:rsidRDefault="00A35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D0BF8">
        <w:trPr>
          <w:trHeight w:val="230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4.1 За отчетный период движение нефинансовых активов было следующим: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поступило основных средств на сумму 73 003 263,53 руб., из которых 22,77%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занимает группа Нежилые помещения (здания и сооружения), выбыло - 224 301 120,67 руб.;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поступило непроизведенных активов на сумму 46 457 562,57 руб., выбыло - 115 987 678,99 руб.;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поступило материальных запасов на сумму 36 046 125,95 руб., выбыло - 36 764 184,18 руб.;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поступление имущества в казну на сумму 341 909 921,06 руб., выбы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ло из казны – 296 862 038,73 руб.;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поступление непроизведенных активов в состав имущества казны на сумму 250 551 827,82 руб., выбыло - 98 685 479,87 руб.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4.2 Амортизация начисляется по всем группам объектов основных средств, следующими методами: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линейный метод;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на объекты стоимостью от 10 000 до 100 000 рублей включительно, амортизация начисляется в размере 100 % первоначальной стоимости при выдаче его в эксплуатацию.  </w:t>
                  </w:r>
                </w:p>
                <w:p w:rsidR="00BD0BF8" w:rsidRDefault="00BD0BF8">
                  <w:pPr>
                    <w:ind w:firstLine="700"/>
                    <w:jc w:val="both"/>
                  </w:pPr>
                </w:p>
                <w:p w:rsidR="00BD0BF8" w:rsidRDefault="00BD0BF8">
                  <w:pPr>
                    <w:ind w:firstLine="700"/>
                    <w:jc w:val="both"/>
                  </w:pP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Срок полезного использования объекта основных средств определяется исх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активов, принятого с учетом: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•    ожидаемого срока использования этого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объекта в соответствии с ожидаемой производительностью или мощностью;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•    ожидаемого физического износа, зависящего от режима эксплуатации, естественных условий и влияния агрессивной среды, системы проведения ремонта;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•    иных ограничений использован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ия этого объекта, в том числе установленных согласно законодательству Российской Федерации;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•    гарантийного срока использования объекта;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•    сроков фактической эксплуатации и ранее начисленной суммы амортизации - для объектов, безвозмездно полученны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х от иных субъектов учета, государственных (муниципальных) организаций.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средства, относящиеся к группе "Инвестиционная недвижимость" на балансе отсутствуют.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Изменений в оценке объектов основных средств, оказывающих влияние в отчетном периоде, либо которые будут оказывать влияние в последующие периоды в отношении сроков полезного использования и методов начисления амортизации объектов основных средств, не произ</w:t>
                  </w:r>
                  <w:r>
                    <w:rPr>
                      <w:color w:val="000000"/>
                      <w:sz w:val="28"/>
                      <w:szCs w:val="28"/>
                    </w:rPr>
                    <w:t>водилось.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4.3 Информация о событиях и обстоятельствах, которые привели к признанию или восстановлению убытка от обесценения актива отсутствует.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Тест на обесценение активов не проводился.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Единица, генерирующая денежные потоки отсутствует.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4.4 Инфо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рмация отсутствует в связи с отсутствием в учреждении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биологических активов.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Корректировка  финансового результата в связи с применением стандарта " Биологические активы" не проводилась, стандарт не применялся.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4.5 Срок полезного использования объекта основных средств имущества казны определяется исходя из рекомендаций, содержащихся в документах производителя, входящих в комплектацию объекта имущества, или на основании решения комиссии субъекта учета по поступлен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ию и выбытию активов, принятого с учетом: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ожидаемого срока использования этого объекта в соответствии с ожидаемой производительностью или мощностью;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ожидаемого физического износа, зависящего от режима эксплуатации, естественных условий и влияния агресс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ивной среды, системы проведения ремонта;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иных ограничений использования этого объекта, в том числе установленных согласно законодательству Российской Федерации;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гарантийного срока использования объекта;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сроков фактической эксплуатации и ранее начисле</w:t>
                  </w:r>
                  <w:r>
                    <w:rPr>
                      <w:color w:val="000000"/>
                      <w:sz w:val="28"/>
                      <w:szCs w:val="28"/>
                    </w:rPr>
                    <w:t>нной суммы амортизации - для объектов, безвозмездно полученных от иных субъектов учета, государственных, муниципальных организаций. 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4.6 Начисление амортизации на объекты имущества казны не производится.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4.7 Информация о доходах в разрезе групп, подгрупп в зависимости от экономического содержания с обособлением сумм предоставленных льгот отсутствует.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отчетном периоде учреждение доходы от подарков, пожертвований не получало.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Информация об основных вида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х безвозмездно полученных услуг (работ) отсутствует.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Обязательства по авансовым поступлениям отсутствуют.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4.8 Дебиторская задолженность на конец отчетного периода по сравнению с началом года уменьшилась на 469 679 738,73 руб.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4.9 Кредиторская задолженность на конец отчетного периода по сравнению с началом года уменьшилась на 17 355 266,90 руб.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4.10 Увеличение дебиторской задолженности не произошло.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4.11 Увеличение кредиторской задолженности не произошло.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4.12 Остаток дебиторской задолженности на 01.01.2024г. составил 870 142 848,88 руб., из которого наиболее весомую сумму занимает задолженность по счету 20551000 - 679 309 616,19 руб. (межбюджетные трансферты на 2024г.).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4.13 Остаток кредиторской задолж</w:t>
                  </w:r>
                  <w:r>
                    <w:rPr>
                      <w:color w:val="000000"/>
                      <w:sz w:val="28"/>
                      <w:szCs w:val="28"/>
                    </w:rPr>
                    <w:t>енности на 01.01.2024г. составил 24 617 424,44 руб., из которого наиболее весомую сумму занимает задолженность по счету 20511000 -22 012 306,83 руб. (расчеты с плательщиками налоговых доходов).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4.14 Просроченная дебиторская задолженность составляет 24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762 431,64 руб., из них: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- 22 892 735,80 руб. - задолженность плательщиков налоговых доходов в бюджет городского округа по данным  Управления федеральной налоговой службы по Московской области;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-1 869 695,84 руб. - задолженность плательщиков по суммам </w:t>
                  </w:r>
                  <w:r>
                    <w:rPr>
                      <w:color w:val="000000"/>
                      <w:sz w:val="28"/>
                      <w:szCs w:val="28"/>
                    </w:rPr>
                    <w:t>административных штрафов в бюджет городского округа, на основании отчета, представленного Управлением по обеспечению деятельности мировых судей Московской области. 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4.15 Просроченная кредиторская задолженность отсутствует.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4.16 Просроченная кредиторская задолженность отсутствует.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4.17 Анализ показателей финансовых вложений в сравнении с показателями на начало года: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-по счету 020432000 увеличились на 12 000 000,00 рублей, в связи с вложением в уставной фонд МУНИЦИПАЛЬНОЕ УНИТАРНОЕ ПРЕДПРИЯТИЕ "РЕСУРСОСНАБЖАЮЩАЯ ОРГАНИЗАЦИЯ ГОРОДСКОГО ОКРУГА СЕРЕБРЯНЫЕ ПРУДЫ";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-по счету 020433000 увеличились на 67 101 863,58 рублей,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связи с приобретением особо ценного имущества;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-по счету 020434000 уменьшилась на 230 000,00рублей, в связи с реорганизацией ООО "СИП" 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4.18 Государственный (муниципального) долг на 01.01.2024г. в сравнении с показателями на начало года не изменился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 составил  58 600 000,00 рублей.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4.19 По состоянию на 01.01.2024 долговые обязательства отсутствуют.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4.20 На начало отчетного года по сравнению с остатками на конец прошлого отчетного периода по данным Управления федеральной налоговой службы по Московской области произошло: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уменьшение дебиторской задолженности на 4 672 172,29 руб.,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уменьшение кредиторс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кой задолженности на 295 291.54 руб.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отчетном периоде произведено исправление ошибок, обнаруженных после принятия бухгалтерской (финансовой) отчетности за 2022 год и внесены изменения в регистры бухгалтерского по следующим счетам: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счету 104.00.000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 (104.34,000, 104.36,000, 104.51,000, 104,52,000) восстановили амортизацию (программная ошибка), на сумму 2 069 511,91 рублей;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-по счету 108.55.000 списали земельные участки на сумму 268 488,00 рублей в связи с не вовремя предоставленным решением суда о б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езвозмездной передаче данных участков физическим лицам;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по счету 108.56.000 -15 116,46 рублей -поступление в казну отфрезированного материала (асфальтная крошка), в связи с несвоевременным поступлением финансовых документов от ГБУ МО "Мосавтодор".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  <w:r>
                    <w:rPr>
                      <w:color w:val="000000"/>
                      <w:sz w:val="28"/>
                      <w:szCs w:val="28"/>
                    </w:rPr>
                    <w:t>21 Остатки по счету бюджетного учета 1 201 34 000 "Касса" отсутствуют.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4.22 По счету бюджетного учета 1 201 35 000 "Денежные документы" числятся марки с конвертами на сумму 43 424,00 руб.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4.23 На счетах в кредитных учреждениях средства избирательных комиссий не числятся.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4.24 В Справке к Балансу (ф.0503120) отражена информация по забалансовым счетам: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остаток по счету 01 "Имущество, полученное в пользование"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4 785 015,82 руб.;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остаток по счету 02 "Материальные ценности на хранении" 5 152 542,49 руб.;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остаток по счету 04 "Задолженность неплатежеспособных дебиторов" 1 874 974,09 руб.;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остаток по счету 09 "Запасные части к транспортным средствам, выданные взамен изношенны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х" 210 374,50 руб.;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остаток по счету 21 "Основные средства в эксплуатации" 8 839 759,85 руб.;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остаток по счету 23 "Периодические издания в пользовании" 175 497,24 руб.;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остаток по счету 25 "Имущество, переданное в возмездное пользование (аренду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)" 9 887 693,39 руб.;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остаток по счету 26 " Имущество, переданное в безвозмездное пользование" 3 025 430,10 руб.;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остаток по счету 27 "Материальные ценности, выданные в личное пользование работникам (сотрудникам)" 1 267 878,41 руб. 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4.26 Показа</w:t>
                  </w:r>
                  <w:r>
                    <w:rPr>
                      <w:color w:val="000000"/>
                      <w:sz w:val="28"/>
                      <w:szCs w:val="28"/>
                    </w:rPr>
                    <w:t>тели вложений в объекты недвижимого имущества, в объекты незавершенного строительства на 01.01.2024г. по сравнению с показателями на 01.01.2023г. увеличились на 90 641 030,14рублей. Увеличение произошло в связи с тем, что после повторной экспертизы произош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ло увеличение сметной документации по строительству водопроводных сетей в п. Новоклёмово, г.о. Серебряные Пруды, строительство ВЗУ с установкой станции обезжелезивания по адресу: с. Мочилы г.о. Серебряные Пруды Московской области и не ввода в эксплкатацию </w:t>
                  </w:r>
                  <w:r>
                    <w:rPr>
                      <w:color w:val="000000"/>
                      <w:sz w:val="28"/>
                      <w:szCs w:val="28"/>
                    </w:rPr>
                    <w:t>строющихся объектов, в т.ч.  Строительство блочно-модульной котельной № 8 д. Шеметово, г.о. Серебряные Пруды, Строительство блочно-модульной котельной №4 с. Подхожее, г.о. Серебряные Пруды, проведением работ по составлению сметной документации по строитель</w:t>
                  </w:r>
                  <w:r>
                    <w:rPr>
                      <w:color w:val="000000"/>
                      <w:sz w:val="28"/>
                      <w:szCs w:val="28"/>
                    </w:rPr>
                    <w:t>ству и реконструкции очистных сооружений и системы теплосетей в городском округе Серебряные Пруды Московской области.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4.27 Денежные потоки между субъектом отчетности и организацией (п.16 Стандарта "Отчет о движении денежных средств") отсутствуют.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Состав денежных средств – безналичные денежные средства в рублях. Эквиваленты денежных средств отсутствуют.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Произведена сверка сумм денежных средств и эквивалентов денежных средств, отраженных в Отчете о движении денежных средств, со статьей «Денежные сре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дства и эквиваленты денежных средств» бухгалтерского баланса. Выявлены отклонения на суммы денежных средств, находящихся во временном распоряжении.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Произведена сверка итоговых показателей Отчета о движении денежных средств с показателями Отчета об исполне</w:t>
                  </w:r>
                  <w:r>
                    <w:rPr>
                      <w:color w:val="000000"/>
                      <w:sz w:val="28"/>
                      <w:szCs w:val="28"/>
                    </w:rPr>
                    <w:t>нии бюджета. Поступление денежных средств на счет бюджета, отраженное в ф.0503117 составило 2 436 471 455,92 руб., в ф.0503123 2 450 136 723,04  руб., отклонение между данными формами на сумму 13 665 267,12 руб.- возврат дебиторской задолженности прошлых 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ет (1 546 928.12 руб.) и возврат казначейского кредита в сумме 12 118 339,00 руб. Выбытие денежных средств, отраженное в ф.0503117 составило 2 411 899 828,29 руб., в ф.0503123 2 424 018 167,29 руб.,  отклонение между данными формами на сумму 12 118 339.00 </w:t>
                  </w:r>
                  <w:r>
                    <w:rPr>
                      <w:color w:val="000000"/>
                      <w:sz w:val="28"/>
                      <w:szCs w:val="28"/>
                    </w:rPr>
                    <w:t>руб. - возврат казначейского кредита.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4.28 За отчетный период (2023г.) фактические доходы субъекта отчетности составили 2 634 791 280,75 руб., из которых 65% (1 720 611 914,81 руб.) составили доходы в виде межбюджетных трансфертов из бюджета Московской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области, расходы составили 2 528 723 342,20 руб., из которых 52% (1 316 336 382,61 руб.) составили субсидии муниципальным учреждениям городского округа. Чистый операционный результат за 2023г. составил 106 067 938,55  руб.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прошлый отчетный период (202</w:t>
                  </w:r>
                  <w:r>
                    <w:rPr>
                      <w:color w:val="000000"/>
                      <w:sz w:val="28"/>
                      <w:szCs w:val="28"/>
                    </w:rPr>
                    <w:t>2г.) фактические доходы субъекта отчетности составили 3 103 527 187,24 руб., из которых 65% (2 019 296 765,02 руб.) составили доходы в виде межбюджетных трансфертов из бюджета Московской области, расходы составили 2 069 265 852,05 руб., из которых 56% (1 1</w:t>
                  </w:r>
                  <w:r>
                    <w:rPr>
                      <w:color w:val="000000"/>
                      <w:sz w:val="28"/>
                      <w:szCs w:val="28"/>
                    </w:rPr>
                    <w:t>53 359 891,45 руб.) составили субсидии муниципальным учреждениям городского округа. Чистый операционный результат за 2022г. составил 1 034 261 335,19 руб.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4.29 По счету 1 401 60 отражены резервы отпусков, резервы на оплату услуг в разрезе КОСГУ: </w:t>
                  </w: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38"/>
                    <w:gridCol w:w="3438"/>
                    <w:gridCol w:w="3438"/>
                  </w:tblGrid>
                  <w:tr w:rsidR="00BD0BF8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КОСГУ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01.01.2023г.</w:t>
                        </w: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(руб.)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01.01.2024г. (руб.)</w:t>
                        </w:r>
                      </w:p>
                    </w:tc>
                  </w:tr>
                  <w:tr w:rsidR="00BD0BF8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211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6 751 802,52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7 081 466,41</w:t>
                        </w:r>
                      </w:p>
                    </w:tc>
                  </w:tr>
                  <w:tr w:rsidR="00BD0BF8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213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2 034 894,31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2 147 874,74</w:t>
                        </w:r>
                      </w:p>
                    </w:tc>
                  </w:tr>
                  <w:tr w:rsidR="00BD0BF8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221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171 642,93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148 668,53</w:t>
                        </w:r>
                      </w:p>
                    </w:tc>
                  </w:tr>
                  <w:tr w:rsidR="00BD0BF8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222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428 161,65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1 575 626,71</w:t>
                        </w:r>
                      </w:p>
                    </w:tc>
                  </w:tr>
                  <w:tr w:rsidR="00BD0BF8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223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710 898,75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901 469,64</w:t>
                        </w:r>
                      </w:p>
                    </w:tc>
                  </w:tr>
                  <w:tr w:rsidR="00BD0BF8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225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4 119,45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26 306 018,89</w:t>
                        </w:r>
                      </w:p>
                    </w:tc>
                  </w:tr>
                  <w:tr w:rsidR="00BD0BF8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226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251 869,01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291 715,12</w:t>
                        </w:r>
                      </w:p>
                    </w:tc>
                  </w:tr>
                  <w:tr w:rsidR="00BD0BF8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343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599 891,39    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445 256,66</w:t>
                        </w:r>
                      </w:p>
                    </w:tc>
                  </w:tr>
                  <w:tr w:rsidR="00BD0BF8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10 953 280,01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BD0BF8">
                        <w:pPr>
                          <w:jc w:val="both"/>
                        </w:pPr>
                      </w:p>
                      <w:p w:rsidR="00BD0BF8" w:rsidRDefault="00A35D9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38 898 096,70</w:t>
                        </w:r>
                      </w:p>
                    </w:tc>
                  </w:tr>
                </w:tbl>
                <w:p w:rsidR="00BD0BF8" w:rsidRDefault="00BD0BF8">
                  <w:pPr>
                    <w:ind w:firstLine="700"/>
                    <w:jc w:val="both"/>
                  </w:pP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Резервы создаются для предстоящей оплаты отпусков за фактически отработанное время или компенсаций за неиспользованный отпуск, в том числе включая увольнение, включая платежи на обязательное социальное страхование. 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Оценочное обязательство в виде резерва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на оплату отпусков за фактически отработанное время определяется ежегодно на 31 декабря текущего года. Сумма резерва, отраженная в бухучете до отчетной даты, корректируется до величины вновь рассчитанного резерва: 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– в сторону увеличения – дополнительными бухгалтерскими проводками;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– в сторону уменьшения – проводками, оформленными методом «красное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сторно».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Ожидаемые сроки использования устанавливаются графиком отпусков.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Создается резерв на оплату обязательств 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тчетного года в следующем году. Расчет резерва производится на основании заключенных договоров и расчета стоимости оказанных услуг за декабрь 2023г. Ожидаемый срок использования резерва- январь 2024 года, по мере представления документов от контрагента.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Признаки неопределенности в части момента предъявления требования об исполнении обязательства и (или) его размера отсутствуют.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Встречные требования к другим лицам при исполнении обязательства не предъявлялись.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4.30 В отчетном периоде непроизведенные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активы не передавались субъектом учета в качестве обеспечения исполнения обязательств.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забалансовом счете 26.55 числятся земельные участки, находящиеся в собственности Серебряно-Прудского муниципального района Московской области, переданные в постоянно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 (бессрочное пользование) общеобразовательным организациям, организациям, занимающимися культурно-досуговой деятельностью на сумму 90 929 455,72 рублей.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Земельные участки, не внесенные в государственный кадастр недвижимости, отсутствуют.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4.31 Реклассификация показателей отчетности не производилась. К стоимостным показателям отчетности, подлежащим реклассификации относятся запасы, резервы, доходы, непроизведенные активы. Корректировка показателей отчетности производилась бы в связи с измене</w:t>
                  </w:r>
                  <w:r>
                    <w:rPr>
                      <w:color w:val="000000"/>
                      <w:sz w:val="28"/>
                      <w:szCs w:val="28"/>
                    </w:rPr>
                    <w:t>ниями нормативно-правовых актов, регулирующих ведение бухгалтерского учета и составления отчетности (применение новых стандартов).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4.32 Сверка на отчетную дату общей суммы арендных платежей с общей суммой их дисконтированных стоимостей не производилась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по причине отсутствия показателей.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отчетный период процентные расходы в учете не признавались.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отчетном периоде финансовая аренда в учете не отражалась.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В соответствии с договорами аренды размер арендной платы за пользование имуществом является ф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иксированным, соответственно условные арендные платежи отсутствуют.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Информация о любых ограничениях по аренде имущества предусматривается договором аренды.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Ограничения, предусмотренные договором безвозмездного пользования: Не передавать без письменного </w:t>
                  </w:r>
                  <w:r>
                    <w:rPr>
                      <w:color w:val="000000"/>
                      <w:sz w:val="28"/>
                      <w:szCs w:val="28"/>
                    </w:rPr>
                    <w:t>согласия ссудодателя имущество третьим лицам.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4.33 В отчетном периоде выявлены ошибки, обнаруженные после принятия бухгалтерской (финансовой) отчетности за 2022 год. В регистры бухгалтерского учета вносились изменения по счетам: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-по коду причины 03.1 (несвоевременное поступление первичных учетных документов)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счету 108.55.000 (нефинансовые активы имущества казны) согласно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судебного решения право собственности на земельный участок от городского округа Серебряные Пруды Московско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й области перешло физическому лицу, выбытие прошло на сумму 268 488,00 рублей.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счету 108.56.000 (нефинансовые активы имущества казны) от ГОСУДАРСТВЕННОГО БЮДЖЕТНОГО УЧРЕЖДЕНИЯ МОСКОВСКОЙ ОБЛАСТИ "МОСАВТОДОР" было поступление отфрезированного материала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 сумму 15 116,46 рублей.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-по коду причины 03.5 (иные причины) в связи с технической ошибкой, при которой списалась балансовая стоимость основных средств, а амортизация нет), были внесены изменения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104.34.000- "Амортизация машин и оборудования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иного движимого имущества учреждения" -  "-" 387 714,10 рублей;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счету 104.36.000- "Инвентарь производственный и хозяйственный - иное движимое имущество учреждения" -  "-" 258 674,69 рублей;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счету 104.51.000- "Амортизация недвижимого имущества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составе имущества казны" -  "-" 511 274,40 рублей;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счету 104.52.000- "Амортизация движимого имущества в составе имущества казны" -  "-" 94 848,72 рубля.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Данные отражены в ф.0503173 «Сведения об изменении остатков валюты баланса».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4.34 В отчетном периоде уменьшение величины резерва предстоящих расходов по выплатам персоналу произошло в размере 8 353 475,48 руб. - признание текущих выплат персоналу за счет сумм ранее признанного резерва предстоящих расходов. Корректировка резерва пре</w:t>
                  </w:r>
                  <w:r>
                    <w:rPr>
                      <w:color w:val="000000"/>
                      <w:sz w:val="28"/>
                      <w:szCs w:val="28"/>
                    </w:rPr>
                    <w:t>дстоящих расходов по выплатам персоналу в части избыточно начисленных сумм не производилось.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4.35 Срок полезного использования нематериальных активов определяется исходя из: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ожидаемого срока получения экономических выгод или полезного потенциала объе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кта;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срока, в течение которого действуют права учреждения на результат интеллектуальной деятельности;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периода, в течение которого учреждение будет контролировать объект;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срока полезного использования актива, с которым объект НМА связан.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Учреждениям</w:t>
                  </w:r>
                  <w:r>
                    <w:rPr>
                      <w:color w:val="000000"/>
                      <w:sz w:val="28"/>
                      <w:szCs w:val="28"/>
                    </w:rPr>
                    <w:t>и используется линейный метод начисления амортизации нематериальных активов. 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4.36 Детализированная информация об активах и обязательствах раскрыта в предыдущих разделах Пояснительной записки.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4.37 Информация отсутствует.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4.38 Форма 0503117: 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Внутриформенная: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Отклонение 402 277,86 руб. соответствует сумме отклонений от доведенных уведомлений, которые включены в Решение Совета депутатов городского Серебряные Пруды Московской. </w:t>
                  </w:r>
                </w:p>
                <w:p w:rsidR="00BD0BF8" w:rsidRDefault="00BD0BF8">
                  <w:pPr>
                    <w:ind w:firstLine="700"/>
                    <w:jc w:val="both"/>
                  </w:pPr>
                </w:p>
                <w:p w:rsidR="00BD0BF8" w:rsidRDefault="00BD0BF8">
                  <w:pPr>
                    <w:ind w:firstLine="700"/>
                    <w:jc w:val="both"/>
                  </w:pP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Форма 0503121: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Отрицательный показатель по КОСГУ 172 - 11 708 163,16 руб. образовался по причине списания основных средств, выбытие жилых помещений, имеющих остаточную стоимость.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Отрицательный показатель по КОСГУ 173 - 1 012 232,68 руб. (списание дебиторской задолженнос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ти, отраженной в отчёте налогового органа, сумма 1 010 697,72 руб. и отчете ГРБС городского округа сумма 1 534,96 руб.)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Форма 0503130: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Расхождение значение граф 5 и 8 строки (201+203+207) Баланса и разницы строк 170 и 180 Справки по забалансовым счетам в сумме 39 632,00 руб. отклонение на счет 201.35 "Денежные документы". (на конец года 43 424, 00 руб. – на начало года 3 792,00 руб.)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Фор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ма 0503168: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Несоответствие остатков по стр. 303 сч. 1 104 6I, стр. 300 сч. 1 104 6Х, стр. 293 сч. 1 111 6I, стр. 290 сч. 1 111 6Х по графе 4 на начало этого года и конец прошлого в сумме 189 337,50 руб., произошло в связи с тем, что, в отчетном периоде бы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ли сделаны исправления ошибок прошлых лет на основании проверки КСП го Серебряные Пруды МО (выявлены НМА, не поставленные на учет. Амортизация по ним начислена полностью). Остальные предупреждения отражены в ф. 0503173_1.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Форма 0503169: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Дебиторская задол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женность: 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Причиной возникновения показателей задолженности со значением "минус" являются произведенные корректировки в начислениях в связи с постановлением суда (в т.ч. вышестоящего) об отмене постановления, определения об описке в части указания взыскат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еля, суммы и т.д.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Сумма отклонения 366 руб. - это реальная задолженность по налогу на доходы физических лиц, возникшая в результате программной   ошибки налог уплачен 17.01.2024года.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Несоответствие суммы дебиторской задолженности на начало этого года и 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 конец прошлого связано с переносом по КПС в межрасчетный период.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Кредиторская задолженность: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составе кредиторской задолженности на счете 205 45 000 на конец отчетного периода отражена сумма 4 000,00 руб. по данным ГАД - Управления федеральной налогов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ой службы по Московской области.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Показатели по счёту 401.40.111 отражены на основании отчётности ГАД -Управление Федеральной налоговой службы по Московской области.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Несоответствие остатков на начало этого года и конец прошлого связано с тем, что в начале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года были внесены изменения в расходные КБК (изменились ЦСР).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Несоответствие суммы кредиторской задолженности по сч.302 31 004 КБК 050210301S4730414 в гр.2 на начало этого года и на конец прошлого: в отчетности за 2022г. кредиторская задолженность на 01.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01.2023г. числилась на КБК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050210302S47304414 -"Строительство блочно-модульной котельной № 8 д. Шеметово, г.о. Серебряные Пруды.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Форма R50_099: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Отклонение на сумму 189 33,50 руб. связано с отражением начисленной ранее амортизации в ф.0503168 стр. 300 "Ам</w:t>
                  </w:r>
                  <w:r>
                    <w:rPr>
                      <w:color w:val="000000"/>
                      <w:sz w:val="28"/>
                      <w:szCs w:val="28"/>
                    </w:rPr>
                    <w:t>ортизация прав пользования нематериальными активами".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4.39 Вся информация нашла отражение в предыдущих пунктах данного раздела.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1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</w:tbl>
    <w:p w:rsidR="00BD0BF8" w:rsidRDefault="00BD0BF8">
      <w:pPr>
        <w:rPr>
          <w:vanish/>
        </w:rPr>
      </w:pPr>
      <w:bookmarkStart w:id="6" w:name="__bookmark_7"/>
      <w:bookmarkEnd w:id="6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267"/>
        <w:gridCol w:w="623"/>
        <w:gridCol w:w="623"/>
        <w:gridCol w:w="283"/>
        <w:gridCol w:w="2834"/>
        <w:gridCol w:w="1700"/>
        <w:gridCol w:w="1984"/>
      </w:tblGrid>
      <w:tr w:rsidR="00BD0BF8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  <w:jc w:val="center"/>
            </w:pPr>
          </w:p>
        </w:tc>
      </w:tr>
      <w:tr w:rsidR="00BD0BF8">
        <w:trPr>
          <w:trHeight w:val="322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A35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D0BF8" w:rsidRDefault="00A3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BD0BF8" w:rsidRDefault="00A35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D0BF8">
        <w:trPr>
          <w:trHeight w:val="230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5.1 Представленные показатели бухгалтерской (финансовой) отчетности сформированы в соответствии с Федеральный закон от 06.12. 2011 года №402 ФЗ" О бухгалтерском учете", Инструкцией о порядке составления и представления отчетности.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5.2 Принятие к учету </w:t>
                  </w:r>
                  <w:r>
                    <w:rPr>
                      <w:color w:val="000000"/>
                      <w:sz w:val="28"/>
                      <w:szCs w:val="28"/>
                    </w:rPr>
                    <w:t>объектов основных средств осуществляется по первоначальной стоимости в сумме фактических вложений на приобретение, сооружение объекта. Принятие к учету непроизведенных активов (земля) осуществляется по кадастровой стоимости объекта. Амортизация начисляется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линейным методом последним числом месяца. Принятие к учету материальных запасов осуществляется по их фактической стоимости, списание проводиться по средней фактической стоимости. Доходы будущих периодов списываются на доходы текущего периода по мере посту</w:t>
                  </w:r>
                  <w:r>
                    <w:rPr>
                      <w:color w:val="000000"/>
                      <w:sz w:val="28"/>
                      <w:szCs w:val="28"/>
                    </w:rPr>
                    <w:t>пления денежных средств на лицевые счета учреждений (например, доходы от аренды). Расходы будущих периодов включаются в состав расходов, формирующих себестоимость работ (услуг), равномерно в течение периода, к которому они относятся. Резервы предстоящих ра</w:t>
                  </w:r>
                  <w:r>
                    <w:rPr>
                      <w:color w:val="000000"/>
                      <w:sz w:val="28"/>
                      <w:szCs w:val="28"/>
                    </w:rPr>
                    <w:t>сходов создаются на оплату отпусков за фактически отработанное время.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5.3 На отчетную дату профессиональных суждений не сложилось.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5.4 Положения учетной политики приведены в соответствие с положениями действующих федеральных стандартов бухгалтерского учета государственных финансов.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 w:rsidP="00902610">
            <w:pPr>
              <w:spacing w:line="276" w:lineRule="auto"/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 w:rsidP="00902610">
                  <w:pPr>
                    <w:spacing w:line="276" w:lineRule="auto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5.5 Прочие положения учетной политики субъекта отчетности, необходимые для понимания пользователями </w:t>
                  </w:r>
                  <w:r>
                    <w:rPr>
                      <w:color w:val="000000"/>
                      <w:sz w:val="28"/>
                      <w:szCs w:val="28"/>
                    </w:rPr>
                    <w:t>бухгалтерской (финансовой) отчетности его финансового положения, финансовых результатов деятельности и движения денежных средств отсутствуют.</w:t>
                  </w:r>
                </w:p>
              </w:tc>
            </w:tr>
          </w:tbl>
          <w:p w:rsidR="00BD0BF8" w:rsidRDefault="00BD0BF8" w:rsidP="00902610">
            <w:pPr>
              <w:spacing w:line="276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 w:rsidP="00902610">
            <w:pPr>
              <w:spacing w:line="276" w:lineRule="auto"/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 w:rsidP="00902610">
                  <w:pPr>
                    <w:spacing w:line="276" w:lineRule="auto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5.6 Используемые подходы для определения структуры денежных средств и эквивалентов денежных средств, классификации денежных потоков, не указанных в Стандарте "Отчет о движении денежных средств", не используются в связи с отсутствием данных эквивалентов.</w:t>
                  </w:r>
                </w:p>
              </w:tc>
            </w:tr>
          </w:tbl>
          <w:p w:rsidR="00BD0BF8" w:rsidRDefault="00BD0BF8" w:rsidP="00902610">
            <w:pPr>
              <w:spacing w:line="276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 w:rsidP="00902610">
            <w:pPr>
              <w:spacing w:line="276" w:lineRule="auto"/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 w:rsidP="00902610">
                  <w:pPr>
                    <w:spacing w:line="276" w:lineRule="auto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5.7 Оценка материальных запасов, приобретенных за плату или полученных безвозмездно осуществляет по фактической стоимости приобретения или получения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</w:t>
                  </w:r>
                  <w:r w:rsidR="0090261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учетом расходов, связанных с их приобретением. Готовая продукция не производится.</w:t>
                  </w:r>
                </w:p>
              </w:tc>
            </w:tr>
          </w:tbl>
          <w:p w:rsidR="00BD0BF8" w:rsidRDefault="00BD0BF8" w:rsidP="00902610">
            <w:pPr>
              <w:spacing w:line="276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5.8   Порядок осуществления полномочий главного администратора доходов бюджета определяется в соответствии с законодательством Российской Федерации . </w:t>
                  </w:r>
                </w:p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Перечень администрируемых доходов утверждается нормативными правовыми актами Серебряно-Прудского городского округа.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5.9 В отчетном периоде отсутствовали объекты учета, которые нельзя оценить.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5.10 Информация об изменении оценочного значения, п</w:t>
                  </w:r>
                  <w:r>
                    <w:rPr>
                      <w:color w:val="000000"/>
                      <w:sz w:val="28"/>
                      <w:szCs w:val="28"/>
                    </w:rPr>
                    <w:t>овлиявшего на показатели бухгалтерской (финансовой) отчетности за отчетный период, с указанием денежных (стоимостных) значений таких изменений отсутствует.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5.11 Информация об изменении оценочного значения, которое повлияло на показатели бухгалтерской (финансовой) отчетности за периоды, следующие за отчетным, с указанием денежных (стоимостных) значений таких изменений отсутствует.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5.12 По состоянию на 01.0</w:t>
                  </w:r>
                  <w:r>
                    <w:rPr>
                      <w:color w:val="000000"/>
                      <w:sz w:val="28"/>
                      <w:szCs w:val="28"/>
                    </w:rPr>
                    <w:t>1.2024 Отдел культуры и делам молодежи Администрации городского округа Серебряные Пруды Московской области и Отдел по физической культуре и спорту Администрации городского округа Серебряные Пруды Московской находятся на стадии ликвидации.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5.13 В класси</w:t>
                  </w:r>
                  <w:r>
                    <w:rPr>
                      <w:color w:val="000000"/>
                      <w:sz w:val="28"/>
                      <w:szCs w:val="28"/>
                    </w:rPr>
                    <w:t>фикацию публично раскрываемых показателей бухгалтерской (финансовой) отчетности изменений не вносилось. Пересмотр классификации сравнительной информации, раскрываемой в бухгалтерской (финансовой) отчетности за предыдущие отчетные периоды не проводился.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5.14 Все показатели, которые необходимы для достоверного представления информации о результатах деятельности учреждений городского округа, представлены в настоящей пояснительной записке.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5.15 Субъект отчетности не является вновь созданным.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5.16 Су</w:t>
                  </w:r>
                  <w:r>
                    <w:rPr>
                      <w:color w:val="000000"/>
                      <w:sz w:val="28"/>
                      <w:szCs w:val="28"/>
                    </w:rPr>
                    <w:t>бъект отчетности не является реорганизуемым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5.17 События после отчетной даты, которые не используются при формировании показателей бухгалтерской отчетности, отсутствуют. 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5.18 Информация отсутствует. 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5.19 Финансовые активы, удерживаемые до погашения, в виде долговых ценных бумаг (облигаций, векселей), а также финансовые активы, предназначенные для перепродажи отсутствуют.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5.20 Реклассификации финансовых активов не проводилось.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5.21 Долговые ценные бумаги отсутствуют.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5.22 Условные обязательства отсутствуют.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5.23 Условные активы отсутствуют.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5.24 Информация об источниках неопределенностей в отношении учетных оценок отсутствует.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5.25 В отчетном периоде договоры простого товарищества не заключались.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5.26 Инфляционные коэффициенты не применялись для пересчета отчетности.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5.27 В отчетном периоде объектов инвестирования не было, метод долевого участия не применялся.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5.28 Инвентаризация проведена в целях составления годовой бухгалтерской отчетности за 2023 год. Недостач и хищений не обнаружено.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5.29 Годовая бюджетная отчетность представлена посредством системы Региональный электронный бюджет Московской области (подсистема сбора и формирования отчетности) включая формы, в которых отсутствуют числовые значения показателей.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  <w:hidden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BD0BF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5.30 Вся информация 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деятельности субъекта отчетности представлена в текстовой части Пояснительной записки.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1"/>
        </w:trPr>
        <w:tc>
          <w:tcPr>
            <w:tcW w:w="1031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</w:tbl>
    <w:p w:rsidR="00BD0BF8" w:rsidRDefault="00BD0BF8">
      <w:pPr>
        <w:rPr>
          <w:vanish/>
        </w:rPr>
      </w:pPr>
      <w:bookmarkStart w:id="7" w:name="__bookmark_8"/>
      <w:bookmarkEnd w:id="7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BD0BF8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  <w:tr w:rsidR="00BD0BF8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  <w:tr w:rsidR="00BD0BF8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BD0BF8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r>
                    <w:rPr>
                      <w:color w:val="000000"/>
                    </w:rPr>
                    <w:t>Заместитель главы администрации городского округа - начальник финансового управления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rPr>
                <w:vanish/>
              </w:rPr>
            </w:pPr>
          </w:p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BD0BF8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jc w:val="center"/>
                  </w:pPr>
                  <w:r>
                    <w:rPr>
                      <w:color w:val="000000"/>
                    </w:rPr>
                    <w:t>Демченко Наталья Федоровна</w:t>
                  </w:r>
                </w:p>
              </w:tc>
            </w:tr>
          </w:tbl>
          <w:p w:rsidR="00BD0BF8" w:rsidRDefault="00A35D96">
            <w:pPr>
              <w:pBdr>
                <w:top w:val="single" w:sz="6" w:space="0" w:color="000000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BD0BF8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0BF8" w:rsidRDefault="00A35D9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BD0BF8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0BF8" w:rsidRDefault="00BD0BF8">
                  <w:pPr>
                    <w:spacing w:line="1" w:lineRule="auto"/>
                  </w:pPr>
                </w:p>
              </w:tc>
            </w:tr>
            <w:tr w:rsidR="00BD0BF8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BD0BF8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A35D96">
                        <w:r>
                          <w:rPr>
                            <w:color w:val="000000"/>
                          </w:rPr>
                          <w:t>Сертификат: 080be380d9274bc1e05223f939875b98</w:t>
                        </w:r>
                      </w:p>
                      <w:p w:rsidR="00BD0BF8" w:rsidRDefault="00A35D96">
                        <w:r>
                          <w:rPr>
                            <w:color w:val="000000"/>
                          </w:rPr>
                          <w:t>Владелец: Демченко Наталья Федоровна</w:t>
                        </w:r>
                      </w:p>
                      <w:p w:rsidR="00BD0BF8" w:rsidRDefault="00A35D96">
                        <w:r>
                          <w:rPr>
                            <w:color w:val="000000"/>
                          </w:rPr>
                          <w:t>Действителен с 13.01.2023 по 07.04.2024</w:t>
                        </w:r>
                      </w:p>
                      <w:p w:rsidR="00BD0BF8" w:rsidRDefault="00A35D96">
                        <w:r>
                          <w:rPr>
                            <w:color w:val="000000"/>
                          </w:rPr>
                          <w:t>Дата подписания: 07.03.2024</w:t>
                        </w:r>
                      </w:p>
                    </w:tc>
                  </w:tr>
                </w:tbl>
                <w:p w:rsidR="00BD0BF8" w:rsidRDefault="00BD0BF8">
                  <w:pPr>
                    <w:spacing w:line="1" w:lineRule="auto"/>
                  </w:pPr>
                </w:p>
              </w:tc>
            </w:tr>
            <w:tr w:rsidR="00BD0BF8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  <w:tr w:rsidR="00BD0BF8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BD0BF8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r>
                    <w:rPr>
                      <w:color w:val="000000"/>
                    </w:rPr>
                    <w:t>Начальник бюджетного отдела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rPr>
                <w:vanish/>
              </w:rPr>
            </w:pPr>
          </w:p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BD0BF8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jc w:val="center"/>
                  </w:pPr>
                  <w:r>
                    <w:rPr>
                      <w:color w:val="000000"/>
                    </w:rPr>
                    <w:t>Костина Ирина Викторовна</w:t>
                  </w:r>
                </w:p>
              </w:tc>
            </w:tr>
          </w:tbl>
          <w:p w:rsidR="00BD0BF8" w:rsidRDefault="00A35D96">
            <w:pPr>
              <w:pBdr>
                <w:top w:val="single" w:sz="6" w:space="0" w:color="000000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BD0BF8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0BF8" w:rsidRDefault="00A35D9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BD0BF8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0BF8" w:rsidRDefault="00BD0BF8">
                  <w:pPr>
                    <w:spacing w:line="1" w:lineRule="auto"/>
                  </w:pPr>
                </w:p>
              </w:tc>
            </w:tr>
            <w:tr w:rsidR="00BD0BF8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BD0BF8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A35D96">
                        <w:r>
                          <w:rPr>
                            <w:color w:val="000000"/>
                          </w:rPr>
                          <w:t>Сертификат: 5d29d64c0b6bf8af23850c5e1f5e8734</w:t>
                        </w:r>
                      </w:p>
                      <w:p w:rsidR="00BD0BF8" w:rsidRDefault="00A35D96">
                        <w:r>
                          <w:rPr>
                            <w:color w:val="000000"/>
                          </w:rPr>
                          <w:t>Владелец: Костина Ирина Викторовна</w:t>
                        </w:r>
                      </w:p>
                      <w:p w:rsidR="00BD0BF8" w:rsidRDefault="00A35D96">
                        <w:r>
                          <w:rPr>
                            <w:color w:val="000000"/>
                          </w:rPr>
                          <w:t>Действителен с 28.03.2023 по 20.06.2024</w:t>
                        </w:r>
                      </w:p>
                      <w:p w:rsidR="00BD0BF8" w:rsidRDefault="00A35D96">
                        <w:r>
                          <w:rPr>
                            <w:color w:val="000000"/>
                          </w:rPr>
                          <w:t>Дата подписания: 07.03.2024</w:t>
                        </w:r>
                      </w:p>
                    </w:tc>
                  </w:tr>
                </w:tbl>
                <w:p w:rsidR="00BD0BF8" w:rsidRDefault="00BD0BF8">
                  <w:pPr>
                    <w:spacing w:line="1" w:lineRule="auto"/>
                  </w:pPr>
                </w:p>
              </w:tc>
            </w:tr>
            <w:tr w:rsidR="00BD0BF8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  <w:tr w:rsidR="00BD0BF8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BD0BF8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r>
                    <w:rPr>
                      <w:color w:val="000000"/>
                    </w:rPr>
                    <w:t>Заместитель начальника - главный бухгалтер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BF8" w:rsidRDefault="00BD0BF8">
            <w:pPr>
              <w:rPr>
                <w:vanish/>
              </w:rPr>
            </w:pPr>
          </w:p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BD0BF8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pPr>
                    <w:jc w:val="center"/>
                  </w:pPr>
                  <w:r>
                    <w:rPr>
                      <w:color w:val="000000"/>
                    </w:rPr>
                    <w:t>Дынникова Олеся Сергеевна</w:t>
                  </w:r>
                </w:p>
              </w:tc>
            </w:tr>
          </w:tbl>
          <w:p w:rsidR="00BD0BF8" w:rsidRDefault="00A35D96">
            <w:pPr>
              <w:pBdr>
                <w:top w:val="single" w:sz="6" w:space="0" w:color="000000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  <w:tr w:rsidR="00BD0BF8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BD0BF8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0BF8" w:rsidRDefault="00A35D9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BD0BF8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0BF8" w:rsidRDefault="00BD0BF8">
                  <w:pPr>
                    <w:spacing w:line="1" w:lineRule="auto"/>
                  </w:pPr>
                </w:p>
              </w:tc>
            </w:tr>
            <w:tr w:rsidR="00BD0BF8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BD0BF8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D0BF8" w:rsidRDefault="00A35D96">
                        <w:r>
                          <w:rPr>
                            <w:color w:val="000000"/>
                          </w:rPr>
                          <w:t>Сертификат: 229a63eeda2298841b2dc8d7638b6f8a</w:t>
                        </w:r>
                      </w:p>
                      <w:p w:rsidR="00BD0BF8" w:rsidRDefault="00A35D96">
                        <w:r>
                          <w:rPr>
                            <w:color w:val="000000"/>
                          </w:rPr>
                          <w:t>Владелец: Дынникова Олеся Сергеевна</w:t>
                        </w:r>
                      </w:p>
                      <w:p w:rsidR="00BD0BF8" w:rsidRDefault="00A35D96">
                        <w:r>
                          <w:rPr>
                            <w:color w:val="000000"/>
                          </w:rPr>
                          <w:t>Действителен с 02.06.2023 по 25.08.2024</w:t>
                        </w:r>
                      </w:p>
                      <w:p w:rsidR="00BD0BF8" w:rsidRDefault="00A35D96">
                        <w:r>
                          <w:rPr>
                            <w:color w:val="000000"/>
                          </w:rPr>
                          <w:t>Дата подписания: 07.03.2024</w:t>
                        </w:r>
                      </w:p>
                    </w:tc>
                  </w:tr>
                </w:tbl>
                <w:p w:rsidR="00BD0BF8" w:rsidRDefault="00BD0BF8">
                  <w:pPr>
                    <w:spacing w:line="1" w:lineRule="auto"/>
                  </w:pPr>
                </w:p>
              </w:tc>
            </w:tr>
            <w:tr w:rsidR="00BD0BF8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BD0BF8">
                  <w:pPr>
                    <w:spacing w:line="1" w:lineRule="auto"/>
                  </w:pP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</w:tr>
      <w:tr w:rsidR="00BD0BF8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BF8" w:rsidRDefault="00BD0BF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  <w:tr w:rsidR="00BD0BF8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A35D9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  <w:tr w:rsidR="00BD0BF8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BD0BF8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0BF8" w:rsidRDefault="00A35D96">
                  <w:r>
                    <w:rPr>
                      <w:color w:val="000000"/>
                    </w:rPr>
                    <w:t>14 февраля 2024 года</w:t>
                  </w:r>
                </w:p>
              </w:tc>
            </w:tr>
          </w:tbl>
          <w:p w:rsidR="00BD0BF8" w:rsidRDefault="00BD0BF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BF8" w:rsidRDefault="00BD0BF8">
            <w:pPr>
              <w:spacing w:line="1" w:lineRule="auto"/>
            </w:pPr>
          </w:p>
        </w:tc>
      </w:tr>
    </w:tbl>
    <w:p w:rsidR="00B523DB" w:rsidRDefault="00B523DB"/>
    <w:sectPr w:rsidR="00B523DB" w:rsidSect="00B523DB">
      <w:headerReference w:type="default" r:id="rId6"/>
      <w:footerReference w:type="default" r:id="rId7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DB" w:rsidRDefault="00B523DB" w:rsidP="00BD0BF8">
      <w:r>
        <w:separator/>
      </w:r>
    </w:p>
  </w:endnote>
  <w:endnote w:type="continuationSeparator" w:id="0">
    <w:p w:rsidR="00B523DB" w:rsidRDefault="00B523DB" w:rsidP="00BD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D0BF8">
      <w:trPr>
        <w:trHeight w:val="56"/>
      </w:trPr>
      <w:tc>
        <w:tcPr>
          <w:tcW w:w="10421" w:type="dxa"/>
        </w:tcPr>
        <w:p w:rsidR="00BD0BF8" w:rsidRDefault="00BD0BF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DB" w:rsidRDefault="00B523DB" w:rsidP="00BD0BF8">
      <w:r>
        <w:separator/>
      </w:r>
    </w:p>
  </w:footnote>
  <w:footnote w:type="continuationSeparator" w:id="0">
    <w:p w:rsidR="00B523DB" w:rsidRDefault="00B523DB" w:rsidP="00BD0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D0BF8">
      <w:trPr>
        <w:trHeight w:val="566"/>
      </w:trPr>
      <w:tc>
        <w:tcPr>
          <w:tcW w:w="10421" w:type="dxa"/>
        </w:tcPr>
        <w:p w:rsidR="00BD0BF8" w:rsidRDefault="00A7164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D0BF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35D96">
            <w:rPr>
              <w:noProof/>
              <w:color w:val="000000"/>
              <w:sz w:val="28"/>
              <w:szCs w:val="28"/>
            </w:rPr>
            <w:t>1</w:t>
          </w:r>
          <w:r>
            <w:fldChar w:fldCharType="end"/>
          </w:r>
        </w:p>
        <w:p w:rsidR="00BD0BF8" w:rsidRDefault="00BD0BF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BF8"/>
    <w:rsid w:val="00902610"/>
    <w:rsid w:val="00A35D96"/>
    <w:rsid w:val="00A71646"/>
    <w:rsid w:val="00B523DB"/>
    <w:rsid w:val="00B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attachedSchema w:val="http://schemas.microsoft.com/office/2019/extls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061AB-FE93-4DEF-A2F4-44F60A5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7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D0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6222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2024-04-02T09:44:00Z</dcterms:created>
  <dcterms:modified xsi:type="dcterms:W3CDTF">2024-04-02T09:44:00Z</dcterms:modified>
</cp:coreProperties>
</file>