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ОКРУГА СЕРЕБРЯНЫЕ ПРУДЫ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bCs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15.01.2025 № 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5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845"/>
        <w:rPr>
          <w14:ligatures w14:val="none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</w:r>
      <w:r>
        <w:rPr>
          <w14:ligatures w14:val="none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Серебряные Пруды Московской области от 29.12.2022 № 2120 «Об утверждении муниципальной программы городского округа Серебряные Пруды Московской области «Социальная защита населения»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5"/>
        <w:ind w:left="0" w:right="0"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Руко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14.01.2025 № 14 «Об утверждении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круга отдельных муниципальных образований Московской области», Уставом 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left="0" w:right="0"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pStyle w:val="845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от 29.12.2022 № 2120 «Об утверждении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ммы городского округа Серебряные Пруды Московской области «Социальная защита населения» (с изменениями, внесенными постановлениями администрации городского округа Серебряные Пруды Московской области от 30.03.2023 № 508, от 27.12.2023 № 2626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28.03.2024 № 356, от 09.09.2024 № 1306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16.10.2024 № 1533, от 27.12.2024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2104)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/>
    </w:p>
    <w:p>
      <w:pPr>
        <w:pStyle w:val="845"/>
        <w:ind w:left="0" w:right="0"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en-US"/>
        </w:rPr>
        <w:t xml:space="preserve">1)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наименование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: «Об утверждении муницип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альной программы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округа Серебряные Пруды Московской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Социальная защита населения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46"/>
        <w:ind w:left="0" w:right="0" w:firstLine="567"/>
        <w:jc w:val="both"/>
        <w:spacing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2) пункт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6"/>
        <w:ind w:left="0" w:right="0"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округа Серебряные Пруды Московской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Социальная защита населения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(прилагается)»;</w:t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изложить муниципальную программу муниципального округа Серебряные Пруды Московской области «Социальная защита населения» в новой редакции (прилагается).</w:t>
      </w:r>
      <w:r>
        <w:rPr>
          <w:sz w:val="28"/>
          <w:szCs w:val="28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 в сетевом издании «Городской округ Серебряные Пруды», доменное имя сайта в информационно-телекоммуникационной сети «Интернет»: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  <w:lang w:val="en-US"/>
        </w:rPr>
      </w:r>
      <w:hyperlink r:id="rId10" w:tooltip="http://" w:history="1">
        <w:r>
          <w:rPr>
            <w:rStyle w:val="825"/>
            <w:rFonts w:ascii="Times New Roman" w:hAnsi="Times New Roman" w:eastAsia="Roboto" w:cs="Times New Roman"/>
            <w:color w:val="000000" w:themeColor="text1"/>
            <w:sz w:val="28"/>
            <w:szCs w:val="28"/>
            <w:highlight w:val="white"/>
            <w:u w:val="none"/>
            <w:lang w:val="en-US"/>
          </w:rPr>
          <w:t xml:space="preserve">http</w:t>
        </w:r>
        <w:r>
          <w:rPr>
            <w:rStyle w:val="825"/>
            <w:rFonts w:ascii="Times New Roman" w:hAnsi="Times New Roman" w:eastAsia="Roboto" w:cs="Times New Roman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://</w:t>
        </w:r>
      </w:hyperlink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  <w:u w:val="none"/>
          <w:lang w:val="en-US"/>
        </w:rPr>
        <w:t xml:space="preserve">spa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  <w:u w:val="none"/>
          <w:lang w:val="en-US"/>
        </w:rPr>
        <w:t xml:space="preserve">dm.ru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после его официального опубликования.</w:t>
      </w:r>
      <w:r>
        <w:rPr>
          <w:sz w:val="28"/>
          <w:szCs w:val="28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округа Волкова А.И.   </w:t>
      </w:r>
      <w:r>
        <w:rPr>
          <w:sz w:val="28"/>
          <w:szCs w:val="28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160" w:line="238" w:lineRule="atLeast"/>
        <w:rPr>
          <w:rFonts w:ascii="Arial" w:hAnsi="Arial" w:cs="Arial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муниципального округа                                 О. В. Павлихин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Серебряные Пруды 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15.01.2025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23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«Приложение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к постановлению администрации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Серебряные Пруды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Московской области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29.12.2022 №2120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(в редакции постановления администрации </w:t>
      </w:r>
      <w:r>
        <w:rPr>
          <w:sz w:val="24"/>
          <w:szCs w:val="24"/>
          <w:highlight w:val="none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муниципального округа от 15.01.2025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№ 23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)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 Паспорт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муниципального округа Серебряные Пруды Московской области 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</w:t>
      </w:r>
      <w:r>
        <w:rPr>
          <w:sz w:val="24"/>
          <w:szCs w:val="24"/>
          <w:highlight w:val="none"/>
        </w:rPr>
      </w:r>
      <w:r/>
    </w:p>
    <w:p>
      <w:pPr>
        <w:ind w:left="93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tbl>
      <w:tblPr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276"/>
        <w:gridCol w:w="1417"/>
        <w:gridCol w:w="1276"/>
        <w:gridCol w:w="1276"/>
        <w:gridCol w:w="1276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Координатор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Заместитель главы муниципального округа Серебряные Пруды Московской области Волков А.И.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Муниципальный заказчик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Цели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 Обеспечение соц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Перечень подпрограмм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Муниципальные заказчики подпрограмм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1. Подпрограмма 1 «Социальная поддержка граждан»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2. Подпрограмма 2 «Развитие системы отдыха и оздоровления детей»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3. Подпрограмма 4 «Содействие занятости населения, развитие трудовых ресурсов и охраны труда»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4. Подпрограмма 5 «Обеспечивающая подпрограмма»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5. Подпрограмма 6 «Развитие и поддержка социально ориентированных некоммерческих организаций»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6. Подпрограмма 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5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Краткая характеристика подпрограмм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1. Подпрограмма 1 «Социальная поддержка граждан» направлена на повышение качества и уровня жизни граждан, достижение своевременного и полного предоставления мер социальной поддержки в рамках законодательства, обратившимся и имеющим право на их получение.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2. Подпрограмма 2 «Развитие системы отдыха и оздоровления детей»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направлена на развитие системы отдыха и оздоровления детей, обеспечивающей вовлечение детей в организованные формы отдыха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зовательных организаций, учреждений сферы культуры и дополнительного образования детей муниципального округа Серебряные Пруды Московской области, повышение удовлетворенности получателей услуг и качества предоставляемых услуг детского отдыха и оздоровления.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3. Подпрограмма 4 «Содействие занятости населения, развитие трудовых ресурсов и охраны труда» направлена на обеспечение права граждан на труд и социальную защиту от безработицы, содействие в подборе подходящей работы и трудоустройстве, информирование граж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дан о положении на рынке труда, гарантия социальной поддержки безработным гражданам, осуществление мер активной политики занятости населения. Осуществление политики в сфере охраны труда, повышение профессионального уровня специалистов в области управления.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4. Подпрограмма 5 «Обеспечивающая подпрограмма»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направлена на создание оптимальных условий: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деятельности администрации муниципального округа Серебряные Пруды Московской области в сфере социальной защиты населения;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исполнения переданных полномочий Московской области по созданию комиссий по делам несовершеннолетних и защите их прав.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5. Подпрограмма 6 «Развитие и 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направлена на поддержку СО НКО, осуществляющих свою деятельность на территории муниципального округа Серебряные Пруды Московской области, создание условий для деятельности СО НКО посредством оказания им финансовой, имущественной, информационной, кон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сультаци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онной поддержки, привлечение СО НКО в сферу оказания услуг населению муниципального округа Серебряные Пруды Московской области, создание постоянно действующей системы взаимодействия органов местного самоуправления, СО НКО и населения муниципального округа.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6. Подпрограмма 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нап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равлена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округе Серебр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яные Пруды Московской области,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ind w:right="-79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Источники финансирования муниципальной программы,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7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том числе по годам реализации программы (тыс.руб.):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29,00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3 484,00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3 836,00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3 936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37 927,26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9 200,16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9 798,40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10 246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4 340,90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4 340,90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Всего, в том числе по годам: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56 856,26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12 684,16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13 564,40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14 082,90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8 247,90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8 276,90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 Краткая характеристика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сферы реализации муниципальной программы, в том числе формулировка основных проблем в указанной сфере, 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описание цели муниципальной программы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Социальная поддержка граждан представляет собой систему правовых, экономических, орга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области.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муниципальном округе Серебряные Пруды развивается нормативная правовая база социальной поддержки различных категорий граждан, семьи и детей, совершенствуется порядок предоставления мер социальной поддержки, оптимизируется сеть государственных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учреждений социального обслуживания, открываются новые и реконструируются функционирующие объекты государственных учреждений социального обслуживания, открываются новые отделения социального обслуживания, повышаются доступность и качество социального обсл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уживания, используются инновационные формы социального обслуживания, внедрены стандарты социальных услуг, регистр получателей социальных услуг и реестр их поставщиков, укрепляются материально-техническая и кадровая базы учреждений социального обслуживания.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Система социальн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ой з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ащиты населения в муниципальном округе Серебряные Пруды базируется на принципах добровольности, адресности, нуждаемости и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Целью муниципальной программы является: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 Обеспечение социального развития муниципального округа Серебряные Пруды Московской области на основе устойчивого роста уровня и качества жизни населения, нуждающегося в социальной поддержке;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 Развитие системы оздоровления и отдыха детей, обеспечивающей вовлечение детей в организов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анны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 формы отдыха на территории образовательных организаций, учреждений сферы культуры и дополнительного образования детей муниципального округа Серебряные Пруды Московской области, повышение качества предоставляемых услуг в сфере оздоровления и отдыха детей;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Создание условий для деятельности социально ориентированных некоммерческих организаций (далее – СО НКО) посредством оказания им финансовой, имущественной,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информационной, консультационной поддержки,</w:t>
      </w:r>
      <w:r>
        <w:rPr>
          <w:rStyle w:val="825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привлечение СО НКО в сферу оказания услуг населению муниципального округа Серебряные Пруды Московской области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 Обеспечение беспрепятственного доступа к приоритетным объектам и услугам в приоритетных сферах жизнедеятельности (образова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ние,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спорт и физическая культура, культура)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 в муниципальном округе Серебряные Пруды Московской области.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2.1. Инерционный прогноз развития социальной сферы с учетом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реализации муниципальной программы, включая возможные варианты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решения проблемы,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оценку преимуществ и рисков, возникающих при выборе различных вариантов решения проблемы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Развитие системы социальной защиты населения будет осуществляться в следующих основных направлениях: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1) оказание мер социальной поддержки гражданам, нуждающимся в социальной поддержке;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2) организация отдыха и оздоровления детей муниципального округа Серебряные Пруды Московской области;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3) осуществление политики в сфере охраны труда, повышения профессионального уровня специалистов в области управления;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4) развитие и оказание поддержки СО НКО;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5) повышение уровня доступности инфраструктурных объектов для инвалидов и других маломобильных групп населения в муниципальном округе Серебряные Пруды Московской области.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силу социального характера реализация муниципальной программы будет способствовать сохранению стабильности социального самочувствия граждан в муниципальном округе Серебряные Пруды Московской области.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 и Московской области. </w:t>
      </w:r>
      <w:r>
        <w:rPr>
          <w:sz w:val="24"/>
          <w:szCs w:val="24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Внешними рисками для реализации муниципальной программы являются: макроэкономические риски, связанные с возможным снижением темпов роста экономики, высокой инфляцией, кризисными явлениями в банковской системе и дефицитом бюджета.</w:t>
      </w:r>
      <w:r>
        <w:rPr>
          <w:sz w:val="24"/>
          <w:szCs w:val="24"/>
          <w:highlight w:val="none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Показатели 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муниципальной программы муниципального округа Серебряные Пруды Московской области 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W w:w="151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42"/>
        <w:gridCol w:w="1701"/>
        <w:gridCol w:w="1135"/>
        <w:gridCol w:w="1134"/>
        <w:gridCol w:w="709"/>
        <w:gridCol w:w="709"/>
        <w:gridCol w:w="709"/>
        <w:gridCol w:w="708"/>
        <w:gridCol w:w="709"/>
        <w:gridCol w:w="1982"/>
        <w:gridCol w:w="1704"/>
      </w:tblGrid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Align w:val="top"/>
            <w:vMerge w:val="restart"/>
            <w:textDirection w:val="lrTb"/>
            <w:noWrap w:val="false"/>
          </w:tcPr>
          <w:p>
            <w:pPr>
              <w:ind w:left="-60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целевых показателей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Тип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vAlign w:val="top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Базовое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13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значение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Планируемое значение по годам реализации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 достижение показателя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vAlign w:val="top"/>
            <w:vMerge w:val="restart"/>
            <w:textDirection w:val="lrTb"/>
            <w:noWrap w:val="false"/>
          </w:tcPr>
          <w:p>
            <w:pPr>
              <w:ind w:left="-113" w:right="-1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подпрограммы, мероприятий, оказывающих влияние на достижение показателя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2" w:right="-1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 xml:space="preserve">Y.XX.ZZ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 Подпрограмма 1 «Социальная поддержка граждан»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1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Приоритетный показатель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1070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1068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1068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1068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1068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Пруды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1.15.01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1.15.02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1.15.03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1.15.04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1.20.01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1.20.03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Подпрограмма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2 «Развитие системы отдыха и оздоровления детей»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Приоритетный показатель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64,5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2.03.01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2.03.02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2.03.03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Приоритетный показатель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56,5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56,5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57,5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58,5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2.03.01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2.03.02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2.03.03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4 «Содействие занятости населения, развитие трудовых ресурсов и охраны труда»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highlight w:val="none"/>
                <w:shd w:val="clear" w:color="auto" w:fill="ffffff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Серебряные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Пруды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4.03.02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6 «Развитие и поддержка социально ориентированных некоммерческих организаций»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СО НКО, которым оказана консультационная поддержка органами местного самоуправления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62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Кв. метров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СО НКО в иных сферах, которым оказана поддержка органами местного самоуправления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57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Кв. метров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6.02.01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ind w:left="-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2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ind w:left="-57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81,8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81,8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83,8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85,8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87,8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89,8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Серебряные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Пруды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7.01.01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Методика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расчета значений показателей муниципальной 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программы муниципального округа Серебряные Пруды Московской области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W w:w="151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12"/>
        <w:gridCol w:w="1134"/>
        <w:gridCol w:w="7511"/>
        <w:gridCol w:w="2126"/>
        <w:gridCol w:w="1562"/>
      </w:tblGrid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ind w:left="-134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показателя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расчета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данных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Периодичность представления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contextualSpacing/>
              <w:ind w:right="-62"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contextualSpacing/>
              <w:ind w:left="-113" w:right="-113"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right="7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Данные АИС «Активное долголетие»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left="-61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рассчитывается по формуле: Дд=Чотд/Чобщ*100%,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где: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Дд - доля детей, охваченных отдыхом и оздоровлением, в общей численности детей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возрасте от 7 до 15 лет, подлежащих оздоровлению;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Чотд - численность детей, охваченных отдыхом и оздоровлением в текущем году;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Дджс=Чотджс/Чобщ*100%,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где: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Ддтжс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Чотдтжс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Чобщ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- общая численность детей в возрасте от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tabs>
                <w:tab w:val="left" w:pos="2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7" w:right="0" w:firstLine="0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11" w:type="dxa"/>
            <w:textDirection w:val="lrTb"/>
            <w:noWrap w:val="false"/>
          </w:tcPr>
          <w:p>
            <w:pPr>
              <w:ind w:right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организаций муниципальной собственности)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-57" w:right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Отчетность муниципальных образований Московской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СО НКО, которым оказана консультационная поддержка органами местного самоуправления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При этом учитывается общее количество СО НКО: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представители которых приняли участие в конфер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 с представителям которых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 добровольцев СО НКО.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20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Отчетность муниципальных образований Московской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-62" w:right="-20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2" w:right="-204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2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ind w:left="57" w:right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1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 рассчитывается по формуле: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Ксонко=Ксонкосз+Ксонкокульт+Ксонкообр+Ксонкофс+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Ксонкозд+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Ксонкоин,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где: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 – количество СО НКО, которым оказана поддержка органами местного самоуправления, всего;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Ксонкосз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Ксонкокульт – количество СО НКО в сфере культуры,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Ксонкообр – количество СО НКО в сфере образования,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Ксонкофс – количество СО НКО в сфере физической культуры и спорта,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Ксонкозд – количество СО НКО в сфере охраны здоровья,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Ксонкоин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638492</wp:posOffset>
                      </wp:positionV>
                      <wp:extent cx="742950" cy="295275"/>
                      <wp:effectExtent l="0" t="0" r="0" b="0"/>
                      <wp:wrapSquare wrapText="bothSides"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1189754" name="image2.png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42950" cy="29527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3872;o:allowoverlap:true;o:allowincell:true;mso-position-horizontal-relative:text;margin-left:245.1pt;mso-position-horizontal:absolute;mso-position-vertical-relative:text;margin-top:50.3pt;mso-position-vertical:absolute;width:58.5pt;height:23.2pt;mso-wrap-distance-left:9.0pt;mso-wrap-distance-top:0.0pt;mso-wrap-distance-right:9.0pt;mso-wrap-distance-bottom:0.0pt;rotation:0;" stroked="false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Составляющие рассчитываются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где: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Ксонко – количество СО НКО в сфере,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 – число СО НКО на территории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образования в сфере, получивших поддержку от органов местного самоуправления.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муниципальных образований Московской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 w:right="-57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Кв. метров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СО НКО в иных сферах, которым оказана поддержка органами местного самоуправления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Показатель рассчитывается по формуле: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Ксонко=Ксонкосз+Ксонкокульт+Ксонкообр+Ксонкофс+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Ксонкозд+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Ксонкоин,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где: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 – количество СО НКО, которым оказана поддержка органами местного самоуправления всего;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Ксонкосз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Ксонкокульт – количество СО НКО в сфере культуры,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Ксонкообр – количество СО НКО в сфере образования,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Ксонкофс – количество СО НКО в сфере физической культуры и спорта,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Ксонкозд – количество СО НКО в сфере охраны здоровья, которым оказана поддержка органами местного самоуправления;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Ксонкоин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2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Кв. метров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511" w:type="dxa"/>
            <w:textDirection w:val="lrTb"/>
            <w:noWrap w:val="false"/>
          </w:tcPr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иных сферах в течение года реализации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2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ind w:left="-38" w:right="-1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2" w:type="dxa"/>
            <w:textDirection w:val="lrTb"/>
            <w:noWrap w:val="false"/>
          </w:tcPr>
          <w:p>
            <w:pPr>
              <w:ind w:right="-1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Доля доступных для инвалидов и других маломобильных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1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групп населения муниципальных объектов инфраструктуры в общем количестве муниципальных объектов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1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2540</wp:posOffset>
                      </wp:positionV>
                      <wp:extent cx="1114425" cy="228600"/>
                      <wp:effectExtent l="0" t="0" r="9525" b="0"/>
                      <wp:wrapNone/>
                      <wp:docPr id="2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4425" cy="228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5680;o:allowoverlap:true;o:allowincell:true;mso-position-horizontal-relative:text;margin-left:236.8pt;mso-position-horizontal:absolute;mso-position-vertical-relative:text;margin-top:0.2pt;mso-position-vertical:absolute;width:87.8pt;height:18.0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где: 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Nоко – общее количество муниципальных объектов на территории муниципального образования.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46"/>
        <w:jc w:val="center"/>
        <w:rPr>
          <w:rFonts w:ascii="Arial" w:hAnsi="Arial" w:eastAsia="Times New Roman" w:cs="Arial"/>
          <w:sz w:val="20"/>
          <w:szCs w:val="20"/>
          <w:highlight w:val="none"/>
        </w:rPr>
      </w:pPr>
      <w:r>
        <w:rPr>
          <w:rFonts w:ascii="Arial" w:hAnsi="Arial" w:eastAsia="Times New Roman" w:cs="Arial"/>
          <w:sz w:val="20"/>
          <w:szCs w:val="20"/>
          <w:highlight w:val="none"/>
        </w:rPr>
      </w:r>
      <w:r>
        <w:rPr>
          <w:rFonts w:ascii="Arial" w:hAnsi="Arial" w:eastAsia="Times New Roman" w:cs="Arial"/>
          <w:sz w:val="20"/>
          <w:szCs w:val="20"/>
          <w:highlight w:val="none"/>
        </w:rPr>
      </w:r>
      <w:r/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Паспорт подпрограммы 1 «Социальная поддержка граждан»</w:t>
      </w:r>
      <w:r>
        <w:rPr>
          <w:sz w:val="24"/>
          <w:szCs w:val="24"/>
          <w:highlight w:val="none"/>
        </w:rPr>
      </w:r>
      <w:r/>
    </w:p>
    <w:p>
      <w:pPr>
        <w:pStyle w:val="845"/>
        <w:jc w:val="center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408"/>
        <w:gridCol w:w="4535"/>
        <w:gridCol w:w="993"/>
        <w:gridCol w:w="991"/>
        <w:gridCol w:w="993"/>
        <w:gridCol w:w="850"/>
        <w:gridCol w:w="709"/>
        <w:gridCol w:w="995"/>
      </w:tblGrid>
      <w:tr>
        <w:trPr>
          <w:trHeight w:val="20"/>
        </w:trPr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8"/>
            <w:shd w:val="clear" w:color="auto" w:fill="auto"/>
            <w:tcW w:w="12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W w:w="2408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W w:w="453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финансирования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shd w:val="clear" w:color="auto" w:fill="auto"/>
            <w:tcW w:w="5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8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5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08" w:right="-85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2023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52"/>
              <w:ind w:left="-108" w:right="-85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2024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2025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2026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8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31" w:right="-8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32" w:right="-8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17 138,56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ind w:left="-108" w:right="-85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17 138,56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45"/>
        <w:jc w:val="center"/>
        <w:rPr>
          <w:sz w:val="20"/>
          <w:szCs w:val="20"/>
          <w:highlight w:val="none"/>
          <w14:ligatures w14:val="none"/>
        </w:rPr>
        <w:outlineLvl w:val="0"/>
      </w:pP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  <w:r/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Перечень мероприятий подпрограммы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 «Социальная поддержка граждан»</w:t>
      </w:r>
      <w:r>
        <w:rPr>
          <w:sz w:val="24"/>
          <w:szCs w:val="24"/>
          <w:highlight w:val="none"/>
        </w:rPr>
      </w:r>
      <w:r/>
    </w:p>
    <w:p>
      <w:pPr>
        <w:pStyle w:val="845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2290"/>
        <w:gridCol w:w="1417"/>
        <w:gridCol w:w="2410"/>
        <w:gridCol w:w="992"/>
        <w:gridCol w:w="850"/>
        <w:gridCol w:w="850"/>
        <w:gridCol w:w="709"/>
        <w:gridCol w:w="567"/>
        <w:gridCol w:w="425"/>
        <w:gridCol w:w="425"/>
        <w:gridCol w:w="425"/>
        <w:gridCol w:w="850"/>
        <w:gridCol w:w="850"/>
        <w:gridCol w:w="1781"/>
      </w:tblGrid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179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9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19" w:right="-119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за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выполнение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179" w:right="-108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2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25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Основное мероприятие 15. Предоставление государственных гарантий муниципальным служащим,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поощрение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за муниципальную службу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6" w:right="-170"/>
              <w:jc w:val="left"/>
              <w:spacing w:after="0" w:line="240" w:lineRule="auto"/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outlineLvl w:val="0"/>
              <w:suppressLineNumbers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Мероприятие 15.01 Возмещение расходов на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ритуальные услуги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, связанные с погребением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96" w:right="-170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Московской области или лица, имевшего на день смерти право на пенсию за выслугу лет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0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5" w:right="-4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46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-113" w:right="-113" w:firstLine="0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113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  <w:lang w:eastAsia="zh-CN" w:bidi="ar"/>
              </w:rPr>
              <w:t xml:space="preserve">Мероприятие 15.02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158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45"/>
              <w:ind w:left="-113" w:right="-113" w:firstLine="0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08" w:right="-51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Мероприятие 15.03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tabs>
                <w:tab w:val="center" w:pos="1097" w:leader="none"/>
              </w:tabs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  <w:tab/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158"/>
              <w:jc w:val="left"/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46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-113" w:right="-113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ind w:left="-127" w:right="-8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  <w:lang w:eastAsia="zh-CN" w:bidi="ar"/>
              </w:rPr>
              <w:t xml:space="preserve">Мероприятие 15.04 Организация выплаты единовременного поощрения при увольнении муниципального служащего в связи с выходом на пенсию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113"/>
              <w:jc w:val="left"/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113" w:right="-113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Основное мероприятие 20. Обеспечение проведения мероприятий, направленных на увеличение продолжительности здоровой жизни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Мероприятие 20.01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eastAsia="zh-CN" w:bidi="ar"/>
              </w:rPr>
              <w:t xml:space="preserve">муниципальных учреждений, оказывающих социальные услуги гражданам старшего возраста, ед.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113"/>
              <w:jc w:val="left"/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20.03 Открытие клуба «Активное долголетие»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открытых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 (действующих) клубов «Активное долголетие», ед.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113"/>
              <w:jc w:val="left"/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9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3707" w:type="dxa"/>
            <w:vMerge w:val="restart"/>
            <w:textDirection w:val="lrTb"/>
            <w:noWrap w:val="false"/>
          </w:tcPr>
          <w:p>
            <w:pPr>
              <w:ind w:left="-9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подпрограмме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7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7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7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17138,56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5429,56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5803,00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5906,00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03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7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Методика определения результатов выполнения мероприятий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муниципальной программы муниципального округа Серебряные Пруды Московской области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</w:t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1587"/>
        <w:gridCol w:w="1417"/>
        <w:gridCol w:w="1417"/>
        <w:gridCol w:w="4394"/>
        <w:gridCol w:w="1134"/>
        <w:gridCol w:w="4822"/>
      </w:tblGrid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основного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13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результата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Порядок определения значений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 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 численность получателей пенсии за выслугу лет лицам, замещающим муниципальные должности и должности муниципальной службы, в связи с выходом на пенсию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получателей выплаты единовременного поощрения при увольнении муниципального служащего в связи с выходом на пенсию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 численность получателей выплаты единовременного поощрения при увольнении муниципального служащего в связи с выходом на пенсию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муниципальных учреждений, оказывающих социальные услуги гражданам старшего возраста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 количество муниципальных учреждений, оказывающих социальные услуги гражданам старшего возраста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открытых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 (действующих) клубов «Активное долголетие»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 количество открытых (действующих) клубов «Активное долголетие»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Паспорт подпрограммы </w:t>
      </w:r>
      <w:r>
        <w:rPr>
          <w:rStyle w:val="825"/>
          <w:rFonts w:ascii="Times New Roman" w:hAnsi="Times New Roman" w:cs="Times New Roman"/>
          <w:color w:val="auto"/>
          <w:sz w:val="26"/>
          <w:szCs w:val="26"/>
          <w:highlight w:val="none"/>
          <w:u w:val="none"/>
        </w:rPr>
        <w:t xml:space="preserve">2 «Развитие системы отдыха и оздоровления детей»</w:t>
      </w:r>
      <w:r>
        <w:rPr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3545"/>
        <w:gridCol w:w="993"/>
        <w:gridCol w:w="992"/>
        <w:gridCol w:w="992"/>
        <w:gridCol w:w="992"/>
        <w:gridCol w:w="993"/>
        <w:gridCol w:w="1134"/>
      </w:tblGrid>
      <w:tr>
        <w:trPr>
          <w:trHeight w:val="20"/>
        </w:trPr>
        <w:tc>
          <w:tcPr>
            <w:tcW w:w="2835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8"/>
            <w:tcW w:w="12333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54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финансирования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W w:w="6096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54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79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2023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79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2024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79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79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2026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79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2027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4 919,60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5 369,40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5 591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5 643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653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1 149,00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1 374,00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3 770,60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3 995,40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Перечень мероприятий подпрограммы </w:t>
      </w:r>
      <w:r>
        <w:rPr>
          <w:rStyle w:val="825"/>
          <w:rFonts w:ascii="Times New Roman" w:hAnsi="Times New Roman" w:cs="Times New Roman"/>
          <w:color w:val="auto"/>
          <w:sz w:val="26"/>
          <w:szCs w:val="26"/>
          <w:highlight w:val="none"/>
          <w:u w:val="none"/>
        </w:rPr>
        <w:t xml:space="preserve">2 «Развитие системы отдыха и оздоровления детей»</w:t>
      </w:r>
      <w:r>
        <w:rPr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303"/>
        <w:gridCol w:w="1354"/>
        <w:gridCol w:w="2163"/>
        <w:gridCol w:w="863"/>
        <w:gridCol w:w="850"/>
        <w:gridCol w:w="850"/>
        <w:gridCol w:w="709"/>
        <w:gridCol w:w="567"/>
        <w:gridCol w:w="567"/>
        <w:gridCol w:w="567"/>
        <w:gridCol w:w="425"/>
        <w:gridCol w:w="850"/>
        <w:gridCol w:w="850"/>
        <w:gridCol w:w="1845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ind w:left="-250" w:right="-25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Основное мероприятие 03. Мероприятия по организации отдыха детей в каникулярное время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4919,60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369,40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591,90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643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653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образованию, отдел культуры по делам молодежи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390,00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1149,00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374,00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251,00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303,00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1313,00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3770,60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3995,40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1.1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03.01 Мероприятия по организации отдыха детей в каникулярное время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23177,00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4288,00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5127,00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4452,00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4637,00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образованию, отдел культуры по делам молодежи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59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6390,00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1149,00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1374,00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1251,00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1313,00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16787,00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3139,00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3753,00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3201,00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3334,00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3360,00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1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Количество детей, участвующих в мероприятиях по организации отдыха детей в каникулярное время, чел.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6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-17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113" w:right="-113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образованию, отдел культуры по делам молодежи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1.2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03.02. Расходы на обеспечение деятельности (оказание услуг) муниципальных учреждений - отдых и оздоровление детей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муниципальных учреждений, оказывающих услугу, связанную с организацией отдыха и оздоровление детей, ед.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6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46"/>
              <w:ind w:left="0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03.03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жизни и здоровья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001,70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631,60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242,40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1139,90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1006,90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980,90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001,70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631,60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242,40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1139,90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1006,90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980,90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right w:val="single" w:color="000000" w:sz="2" w:space="0"/>
            </w:tcBorders>
            <w:tcW w:w="230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учреждений, осуществляющих мероприятия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жизни и здоровья,ед.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16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6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46"/>
              <w:ind w:left="0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113" w:right="-113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по образованию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6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30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6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65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подпрограмме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64" w:right="-16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4919,60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5369,40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643,90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653,90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6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1149,00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1374,00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1251,00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1303,00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1313,00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6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6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64" w:right="-16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3770,60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3995,40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,90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863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98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300"/>
        </w:trPr>
        <w:tc>
          <w:tcPr>
            <w:gridSpan w:val="1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Методика определения результатов выполнения мероприятий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муниципальной программы муниципального округа 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4677"/>
        <w:gridCol w:w="1134"/>
        <w:gridCol w:w="4538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основного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результата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27" w:right="-22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Порядок определения значений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Количество детей, участвующих в мероприятиях по организации отдыха детей в каникулярное время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Определяется по предоставленной информации управления по образованию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муниципальных учреждений, оказывающих услугу, связанную с организацией отдыха и оздоровление детей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Определяется по предоставленной информации управления по образованию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учреждений, осуществляющих 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Определяется по предоставленной информации управления по образованию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4 «Содействие занятости населения, развития трудовых ресурсов и охраны труда»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4394"/>
        <w:gridCol w:w="992"/>
        <w:gridCol w:w="992"/>
        <w:gridCol w:w="992"/>
        <w:gridCol w:w="992"/>
        <w:gridCol w:w="991"/>
        <w:gridCol w:w="713"/>
      </w:tblGrid>
      <w:tr>
        <w:trPr>
          <w:trHeight w:val="20"/>
        </w:trPr>
        <w:tc>
          <w:tcPr>
            <w:tcW w:w="2551" w:type="dxa"/>
            <w:textDirection w:val="lrTb"/>
            <w:noWrap w:val="false"/>
          </w:tcPr>
          <w:p>
            <w:pPr>
              <w:ind w:left="-137" w:right="-108" w:firstLine="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8"/>
            <w:tcW w:w="1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ind w:left="-108" w:right="-108" w:firstLine="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финансирования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W w:w="5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ind w:left="-108" w:right="-108" w:firstLine="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2023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2024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2025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2026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2027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Всего: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64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4 «Содействие занятости населения, развития трудовых ресурсов и охраны труда»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"/>
        <w:gridCol w:w="3020"/>
        <w:gridCol w:w="1276"/>
        <w:gridCol w:w="2409"/>
        <w:gridCol w:w="850"/>
        <w:gridCol w:w="709"/>
        <w:gridCol w:w="850"/>
        <w:gridCol w:w="709"/>
        <w:gridCol w:w="425"/>
        <w:gridCol w:w="567"/>
        <w:gridCol w:w="425"/>
        <w:gridCol w:w="425"/>
        <w:gridCol w:w="709"/>
        <w:gridCol w:w="709"/>
        <w:gridCol w:w="1704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82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020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Основное мероприятие 03. Профилактика производственного травматизма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6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38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1.1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none" w:color="000000" w:sz="4" w:space="0"/>
            </w:tcBorders>
            <w:tcW w:w="3020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03.02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7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20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6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3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9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подпрограмме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7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29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29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29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Методика определения результатов выполнения мероприятий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муниципальной программы муниципального округа 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4252"/>
        <w:gridCol w:w="1134"/>
        <w:gridCol w:w="4963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39" w:right="-10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6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9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63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5 «Обеспечивающая подпрограмма»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693"/>
        <w:gridCol w:w="3969"/>
        <w:gridCol w:w="992"/>
        <w:gridCol w:w="992"/>
        <w:gridCol w:w="992"/>
        <w:gridCol w:w="992"/>
        <w:gridCol w:w="992"/>
        <w:gridCol w:w="995"/>
      </w:tblGrid>
      <w:tr>
        <w:trPr>
          <w:trHeight w:val="20"/>
        </w:trPr>
        <w:tc>
          <w:tcPr>
            <w:tcW w:w="2551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5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2 585,00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2 604,00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2 623,00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12 539,00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2 585,00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2 604,00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2 623,00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12 539,00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SimSun" w:cs="Times New Roman"/>
          <w:color w:val="000000"/>
          <w:sz w:val="20"/>
          <w:szCs w:val="20"/>
          <w:highlight w:val="none"/>
          <w:lang w:eastAsia="zh-CN" w:bidi="ar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5 «Обеспечивающая подпрограмма»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1417"/>
        <w:gridCol w:w="2551"/>
        <w:gridCol w:w="992"/>
        <w:gridCol w:w="850"/>
        <w:gridCol w:w="850"/>
        <w:gridCol w:w="850"/>
        <w:gridCol w:w="850"/>
        <w:gridCol w:w="850"/>
        <w:gridCol w:w="2412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7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585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Сектор по делам несовершенно-летних и защите их прав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585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ind w:left="-108" w:right="-7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03.02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585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Сектор по делам несовершенно-летних и защите их прав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2585,00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2604,00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2623,00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ind w:left="-10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2585,00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2604,00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2623,00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Сектор по делам несовершенно-летних и защите их прав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12539,00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2585,00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2604,00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2623,00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5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6 «Развитие и поддержка социально ориентированных некоммерческих организаций»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4821"/>
        <w:gridCol w:w="850"/>
        <w:gridCol w:w="851"/>
        <w:gridCol w:w="850"/>
        <w:gridCol w:w="990"/>
        <w:gridCol w:w="850"/>
        <w:gridCol w:w="853"/>
      </w:tblGrid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1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5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821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1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SimSun" w:cs="Times New Roman"/>
          <w:color w:val="000000"/>
          <w:sz w:val="20"/>
          <w:szCs w:val="20"/>
          <w:highlight w:val="none"/>
          <w:lang w:eastAsia="zh-CN" w:bidi="ar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eastAsia="SimSu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6 «Развитие и поддержка социально ориентированных некоммерческих организаций»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1"/>
        <w:gridCol w:w="2585"/>
        <w:gridCol w:w="1417"/>
        <w:gridCol w:w="2551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2126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7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108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val="en-US" w:eastAsia="zh-CN" w:bidi="ar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highlight w:val="none"/>
                <w:lang w:eastAsia="zh-CN" w:bidi="ar"/>
              </w:rPr>
              <w:t xml:space="preserve">11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Основное мероприятие 02. Осуществление имущественной, информационной и консультационной поддержки СО 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02.01 Предоставление имущественной и консультационной поддержки СО 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 НКО, получивших имущественную и консультационную поддержки,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46"/>
              <w:ind w:left="-113" w:right="-111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6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Управление экономики и инвестиций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non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ind w:left="-108" w:right="-17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Мероприятие 02.02 Предоставление информационной поддержки, организация и проведение конференций,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99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none" w:color="000000" w:sz="4" w:space="0"/>
            </w:tcBorders>
            <w:tcW w:w="258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Итого 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none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0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Управление экономики и инвестиций администрации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0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0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0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9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00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Методика определения результатов выполнения мероприятий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муниципальной программы муниципального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«Социальная защита населения»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tabs>
          <w:tab w:val="left" w:pos="9165" w:leader="none"/>
          <w:tab w:val="left" w:pos="9705" w:leader="none"/>
          <w:tab w:val="left" w:pos="10335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4252"/>
        <w:gridCol w:w="1276"/>
        <w:gridCol w:w="4822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 НКО, получивших имущественную и консультационную поддержки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 НКО, получивших имущественную и консультационную поддержки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6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SimSun" w:cs="Times New Roman"/>
          <w:color w:val="000000"/>
          <w:sz w:val="26"/>
          <w:szCs w:val="26"/>
          <w:highlight w:val="none"/>
          <w:lang w:eastAsia="zh-CN" w:bidi="ar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/>
    </w:p>
    <w:p>
      <w:pPr>
        <w:pStyle w:val="845"/>
        <w:jc w:val="center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7 «Обеспечение доступности для инвалидов и маломобильных групп населения объектов инфраструктуры и услуг»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4394"/>
        <w:gridCol w:w="992"/>
        <w:gridCol w:w="992"/>
        <w:gridCol w:w="992"/>
        <w:gridCol w:w="992"/>
        <w:gridCol w:w="992"/>
        <w:gridCol w:w="711"/>
      </w:tblGrid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5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highlight w:val="none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64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  <w:t xml:space="preserve">7 «Обеспечение доступности для инвалидов и маломобильных групп населения объектов инфраструктуры и услуг»</w:t>
      </w:r>
      <w:r>
        <w:rPr>
          <w:sz w:val="24"/>
          <w:szCs w:val="24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1417"/>
        <w:gridCol w:w="2551"/>
        <w:gridCol w:w="709"/>
        <w:gridCol w:w="709"/>
        <w:gridCol w:w="709"/>
        <w:gridCol w:w="709"/>
        <w:gridCol w:w="425"/>
        <w:gridCol w:w="425"/>
        <w:gridCol w:w="425"/>
        <w:gridCol w:w="567"/>
        <w:gridCol w:w="709"/>
        <w:gridCol w:w="709"/>
        <w:gridCol w:w="1704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08" w:right="-7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170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6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-108" w:right="-16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01.01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6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-108" w:right="-16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7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-108" w:right="-13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объектов, процент (с нарастающим итогом)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6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5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  <w:tcW w:w="1704" w:type="dxa"/>
            <w:vAlign w:val="top"/>
            <w:vMerge w:val="restart"/>
            <w:textDirection w:val="lrTb"/>
            <w:noWrap w:val="false"/>
          </w:tcPr>
          <w:p>
            <w:pPr>
              <w:ind w:left="-108" w:right="-13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7"/>
        </w:trPr>
        <w:tc>
          <w:tcPr>
            <w:shd w:val="clear" w:color="ffffff" w:fill="ffffff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89,8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81,8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83,8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85,8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85,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ind w:left="-108" w:right="-13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муниципального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5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45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определения результатов выполнения мероприятий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программы муниципального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9165" w:leader="none"/>
          <w:tab w:val="left" w:pos="9705" w:leader="none"/>
          <w:tab w:val="left" w:pos="1033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2693"/>
        <w:gridCol w:w="1134"/>
        <w:gridCol w:w="6522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6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8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5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5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5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509984</wp:posOffset>
                      </wp:positionV>
                      <wp:extent cx="990600" cy="295275"/>
                      <wp:effectExtent l="0" t="0" r="0" b="9525"/>
                      <wp:wrapNone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0708537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0598" cy="29527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57728;o:allowoverlap:true;o:allowincell:true;mso-position-horizontal-relative:text;margin-left:213.4pt;mso-position-horizontal:absolute;mso-position-vertical-relative:text;margin-top:40.2pt;mso-position-vertical:absolute;width:78.0pt;height:23.2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формуле:                      где:  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Nоко – общее количество муниципальных объектов на территории муниципального образования.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567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Meiryo UI">
    <w:panose1 w:val="020B0604030504040204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5" w:firstLine="0"/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9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40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41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43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44">
    <w:name w:val="Subtitle Char"/>
    <w:basedOn w:val="659"/>
    <w:link w:val="672"/>
    <w:uiPriority w:val="11"/>
    <w:rPr>
      <w:sz w:val="24"/>
      <w:szCs w:val="24"/>
    </w:rPr>
  </w:style>
  <w:style w:type="character" w:styleId="645">
    <w:name w:val="Quote Char"/>
    <w:link w:val="674"/>
    <w:uiPriority w:val="29"/>
    <w:rPr>
      <w:i/>
    </w:rPr>
  </w:style>
  <w:style w:type="character" w:styleId="646">
    <w:name w:val="Intense Quote Char"/>
    <w:link w:val="676"/>
    <w:uiPriority w:val="30"/>
    <w:rPr>
      <w:i/>
    </w:rPr>
  </w:style>
  <w:style w:type="character" w:styleId="647">
    <w:name w:val="Footnote Text Char"/>
    <w:link w:val="807"/>
    <w:uiPriority w:val="99"/>
    <w:rPr>
      <w:sz w:val="18"/>
    </w:rPr>
  </w:style>
  <w:style w:type="character" w:styleId="648">
    <w:name w:val="Endnote Text Char"/>
    <w:link w:val="810"/>
    <w:uiPriority w:val="99"/>
    <w:rPr>
      <w:sz w:val="20"/>
    </w:rPr>
  </w:style>
  <w:style w:type="paragraph" w:styleId="649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50">
    <w:name w:val="Heading 1"/>
    <w:basedOn w:val="649"/>
    <w:next w:val="649"/>
    <w:link w:val="834"/>
    <w:uiPriority w:val="9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51">
    <w:name w:val="Heading 2"/>
    <w:basedOn w:val="649"/>
    <w:next w:val="649"/>
    <w:link w:val="83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2">
    <w:name w:val="Heading 3"/>
    <w:basedOn w:val="649"/>
    <w:next w:val="649"/>
    <w:link w:val="836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53">
    <w:name w:val="Heading 4"/>
    <w:basedOn w:val="652"/>
    <w:next w:val="649"/>
    <w:link w:val="837"/>
    <w:uiPriority w:val="99"/>
    <w:semiHidden/>
    <w:unhideWhenUsed/>
    <w:qFormat/>
    <w:pPr>
      <w:jc w:val="center"/>
      <w:keepLines w:val="0"/>
      <w:keepNext w:val="0"/>
      <w:spacing w:before="108" w:after="108" w:line="240" w:lineRule="auto"/>
      <w:widowControl w:val="off"/>
      <w:outlineLvl w:val="3"/>
    </w:pPr>
    <w:rPr>
      <w:rFonts w:ascii="Arial" w:hAnsi="Arial" w:cs="Arial" w:eastAsiaTheme="minorEastAsia"/>
      <w:color w:val="26282f"/>
      <w:sz w:val="24"/>
      <w:szCs w:val="24"/>
      <w:lang w:eastAsia="ru-RU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Heading 1 Char"/>
    <w:basedOn w:val="659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59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59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59"/>
    <w:uiPriority w:val="10"/>
    <w:rPr>
      <w:sz w:val="48"/>
      <w:szCs w:val="48"/>
    </w:rPr>
  </w:style>
  <w:style w:type="paragraph" w:styleId="672">
    <w:name w:val="Subtitle"/>
    <w:basedOn w:val="649"/>
    <w:next w:val="649"/>
    <w:link w:val="673"/>
    <w:uiPriority w:val="11"/>
    <w:qFormat/>
    <w:pPr>
      <w:spacing w:before="200"/>
    </w:pPr>
    <w:rPr>
      <w:sz w:val="24"/>
      <w:szCs w:val="24"/>
    </w:rPr>
  </w:style>
  <w:style w:type="character" w:styleId="673" w:customStyle="1">
    <w:name w:val="Подзаголовок Знак"/>
    <w:basedOn w:val="659"/>
    <w:link w:val="672"/>
    <w:uiPriority w:val="11"/>
    <w:rPr>
      <w:sz w:val="24"/>
      <w:szCs w:val="24"/>
    </w:rPr>
  </w:style>
  <w:style w:type="paragraph" w:styleId="674">
    <w:name w:val="Quote"/>
    <w:basedOn w:val="649"/>
    <w:next w:val="649"/>
    <w:link w:val="675"/>
    <w:uiPriority w:val="29"/>
    <w:qFormat/>
    <w:pPr>
      <w:ind w:left="720" w:right="720"/>
    </w:pPr>
    <w:rPr>
      <w:i/>
    </w:rPr>
  </w:style>
  <w:style w:type="character" w:styleId="675" w:customStyle="1">
    <w:name w:val="Цитата 2 Знак"/>
    <w:link w:val="674"/>
    <w:uiPriority w:val="29"/>
    <w:rPr>
      <w:i/>
    </w:rPr>
  </w:style>
  <w:style w:type="paragraph" w:styleId="676">
    <w:name w:val="Intense Quote"/>
    <w:basedOn w:val="649"/>
    <w:next w:val="649"/>
    <w:link w:val="6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 w:customStyle="1">
    <w:name w:val="Выделенная цитата Знак"/>
    <w:link w:val="676"/>
    <w:uiPriority w:val="30"/>
    <w:rPr>
      <w:i/>
    </w:rPr>
  </w:style>
  <w:style w:type="character" w:styleId="678" w:customStyle="1">
    <w:name w:val="Header Char"/>
    <w:basedOn w:val="659"/>
    <w:uiPriority w:val="99"/>
  </w:style>
  <w:style w:type="character" w:styleId="679" w:customStyle="1">
    <w:name w:val="Footer Char"/>
    <w:basedOn w:val="659"/>
    <w:uiPriority w:val="99"/>
  </w:style>
  <w:style w:type="paragraph" w:styleId="680">
    <w:name w:val="Caption"/>
    <w:basedOn w:val="649"/>
    <w:next w:val="64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1" w:customStyle="1">
    <w:name w:val="Caption Char"/>
    <w:uiPriority w:val="99"/>
  </w:style>
  <w:style w:type="table" w:styleId="682" w:customStyle="1">
    <w:name w:val="Table Grid Light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3">
    <w:name w:val="Plain Table 1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6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6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6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4 - Accent 1"/>
    <w:basedOn w:val="66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1" w:customStyle="1">
    <w:name w:val="Grid Table 4 - Accent 2"/>
    <w:basedOn w:val="66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2" w:customStyle="1">
    <w:name w:val="Grid Table 4 - Accent 3"/>
    <w:basedOn w:val="66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3" w:customStyle="1">
    <w:name w:val="Grid Table 4 - Accent 4"/>
    <w:basedOn w:val="66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4" w:customStyle="1">
    <w:name w:val="Grid Table 4 - Accent 5"/>
    <w:basedOn w:val="66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5" w:customStyle="1">
    <w:name w:val="Grid Table 4 - Accent 6"/>
    <w:basedOn w:val="66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6">
    <w:name w:val="Grid Table 5 Dark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1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2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3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4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5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6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3">
    <w:name w:val="Grid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4" w:customStyle="1">
    <w:name w:val="Grid Table 6 Colorful - Accent 1"/>
    <w:basedOn w:val="66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5" w:customStyle="1">
    <w:name w:val="Grid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6" w:customStyle="1">
    <w:name w:val="Grid Table 6 Colorful - Accent 3"/>
    <w:basedOn w:val="66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7" w:customStyle="1">
    <w:name w:val="Grid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8" w:customStyle="1">
    <w:name w:val="Grid Table 6 Colorful - Accent 5"/>
    <w:basedOn w:val="66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9" w:customStyle="1">
    <w:name w:val="Grid Table 6 Colorful - Accent 6"/>
    <w:basedOn w:val="66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0">
    <w:name w:val="Grid Table 7 Colorful"/>
    <w:basedOn w:val="6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1"/>
    <w:basedOn w:val="66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5"/>
    <w:basedOn w:val="66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6"/>
    <w:basedOn w:val="66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6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1"/>
    <w:basedOn w:val="66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2"/>
    <w:basedOn w:val="66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3"/>
    <w:basedOn w:val="66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4"/>
    <w:basedOn w:val="66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5"/>
    <w:basedOn w:val="66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6"/>
    <w:basedOn w:val="66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6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6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1"/>
    <w:basedOn w:val="66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>
    <w:name w:val="List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List Table 6 Colorful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4" w:customStyle="1">
    <w:name w:val="List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List Table 6 Colorful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6" w:customStyle="1">
    <w:name w:val="List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List Table 6 Colorful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8" w:customStyle="1">
    <w:name w:val="List Table 6 Colorful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9">
    <w:name w:val="List Table 7 Colorful"/>
    <w:basedOn w:val="6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1"/>
    <w:basedOn w:val="66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2"/>
    <w:basedOn w:val="66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3"/>
    <w:basedOn w:val="66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4"/>
    <w:basedOn w:val="66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5"/>
    <w:basedOn w:val="66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6"/>
    <w:basedOn w:val="66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ned - Accent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Lined - Accent 1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Lined - Accent 2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Lined - Accent 3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Lined - Accent 4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Lined - Accent 5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Lined - Accent 6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 &amp; Lined - Accent"/>
    <w:basedOn w:val="66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Bordered &amp; Lined - Accent 1"/>
    <w:basedOn w:val="66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Bordered &amp; Lined - Accent 2"/>
    <w:basedOn w:val="66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Bordered &amp; Lined - Accent 3"/>
    <w:basedOn w:val="66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Bordered &amp; Lined - Accent 4"/>
    <w:basedOn w:val="66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Bordered &amp; Lined - Accent 5"/>
    <w:basedOn w:val="66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Bordered &amp; Lined - Accent 6"/>
    <w:basedOn w:val="66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"/>
    <w:basedOn w:val="6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1" w:customStyle="1">
    <w:name w:val="Bordered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2" w:customStyle="1">
    <w:name w:val="Bordered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3" w:customStyle="1">
    <w:name w:val="Bordered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4" w:customStyle="1">
    <w:name w:val="Bordered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5" w:customStyle="1">
    <w:name w:val="Bordered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6" w:customStyle="1">
    <w:name w:val="Bordered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07">
    <w:name w:val="footnote text"/>
    <w:basedOn w:val="649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 w:customStyle="1">
    <w:name w:val="Текст сноски Знак"/>
    <w:link w:val="807"/>
    <w:uiPriority w:val="99"/>
    <w:rPr>
      <w:sz w:val="18"/>
    </w:rPr>
  </w:style>
  <w:style w:type="character" w:styleId="809">
    <w:name w:val="footnote reference"/>
    <w:basedOn w:val="659"/>
    <w:uiPriority w:val="99"/>
    <w:unhideWhenUsed/>
    <w:rPr>
      <w:vertAlign w:val="superscript"/>
    </w:rPr>
  </w:style>
  <w:style w:type="paragraph" w:styleId="810">
    <w:name w:val="endnote text"/>
    <w:basedOn w:val="649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 w:customStyle="1">
    <w:name w:val="Текст концевой сноски Знак"/>
    <w:link w:val="810"/>
    <w:uiPriority w:val="99"/>
    <w:rPr>
      <w:sz w:val="20"/>
    </w:rPr>
  </w:style>
  <w:style w:type="character" w:styleId="812">
    <w:name w:val="endnote reference"/>
    <w:basedOn w:val="659"/>
    <w:uiPriority w:val="99"/>
    <w:semiHidden/>
    <w:unhideWhenUsed/>
    <w:rPr>
      <w:vertAlign w:val="superscript"/>
    </w:rPr>
  </w:style>
  <w:style w:type="paragraph" w:styleId="813">
    <w:name w:val="toc 1"/>
    <w:basedOn w:val="649"/>
    <w:next w:val="649"/>
    <w:uiPriority w:val="39"/>
    <w:unhideWhenUsed/>
    <w:pPr>
      <w:spacing w:after="57"/>
    </w:pPr>
  </w:style>
  <w:style w:type="paragraph" w:styleId="814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15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16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17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18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19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0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1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649"/>
    <w:next w:val="649"/>
    <w:uiPriority w:val="99"/>
    <w:unhideWhenUsed/>
    <w:pPr>
      <w:spacing w:after="0"/>
    </w:pPr>
  </w:style>
  <w:style w:type="character" w:styleId="824">
    <w:name w:val="FollowedHyperlink"/>
    <w:basedOn w:val="659"/>
    <w:uiPriority w:val="99"/>
    <w:semiHidden/>
    <w:unhideWhenUsed/>
    <w:qFormat/>
    <w:rPr>
      <w:color w:val="954f72" w:themeColor="followedHyperlink"/>
      <w:u w:val="single"/>
    </w:rPr>
  </w:style>
  <w:style w:type="character" w:styleId="825">
    <w:name w:val="Hyperlink"/>
    <w:basedOn w:val="659"/>
    <w:uiPriority w:val="99"/>
    <w:semiHidden/>
    <w:unhideWhenUsed/>
    <w:qFormat/>
    <w:rPr>
      <w:color w:val="0000ff"/>
      <w:u w:val="single"/>
    </w:rPr>
  </w:style>
  <w:style w:type="paragraph" w:styleId="826">
    <w:name w:val="Balloon Text"/>
    <w:basedOn w:val="649"/>
    <w:link w:val="84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27">
    <w:name w:val="annotation text"/>
    <w:basedOn w:val="649"/>
    <w:link w:val="83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28">
    <w:name w:val="annotation subject"/>
    <w:basedOn w:val="827"/>
    <w:next w:val="827"/>
    <w:link w:val="843"/>
    <w:uiPriority w:val="99"/>
    <w:semiHidden/>
    <w:unhideWhenUsed/>
    <w:qFormat/>
    <w:rPr>
      <w:b/>
      <w:bCs/>
    </w:rPr>
  </w:style>
  <w:style w:type="paragraph" w:styleId="829">
    <w:name w:val="Header"/>
    <w:basedOn w:val="649"/>
    <w:link w:val="8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830">
    <w:name w:val="Body Text"/>
    <w:basedOn w:val="649"/>
    <w:link w:val="842"/>
    <w:uiPriority w:val="99"/>
    <w:semiHidden/>
    <w:unhideWhenUsed/>
    <w:qFormat/>
    <w:pPr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831">
    <w:name w:val="Title"/>
    <w:basedOn w:val="649"/>
    <w:next w:val="649"/>
    <w:link w:val="841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32">
    <w:name w:val="Footer"/>
    <w:basedOn w:val="649"/>
    <w:link w:val="84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table" w:styleId="833">
    <w:name w:val="Table Grid"/>
    <w:basedOn w:val="660"/>
    <w:uiPriority w:val="39"/>
    <w:qFormat/>
    <w:pPr>
      <w:jc w:val="both"/>
    </w:pPr>
    <w:rPr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 w:customStyle="1">
    <w:name w:val="Заголовок 1 Знак"/>
    <w:basedOn w:val="659"/>
    <w:link w:val="650"/>
    <w:uiPriority w:val="99"/>
    <w:qFormat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35" w:customStyle="1">
    <w:name w:val="Заголовок 2 Знак"/>
    <w:basedOn w:val="659"/>
    <w:link w:val="651"/>
    <w:uiPriority w:val="9"/>
    <w:qFormat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36" w:customStyle="1">
    <w:name w:val="Заголовок 3 Знак"/>
    <w:basedOn w:val="659"/>
    <w:link w:val="652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37" w:customStyle="1">
    <w:name w:val="Заголовок 4 Знак"/>
    <w:basedOn w:val="659"/>
    <w:link w:val="653"/>
    <w:uiPriority w:val="99"/>
    <w:semiHidden/>
    <w:qFormat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38" w:customStyle="1">
    <w:name w:val="Текст примечания Знак"/>
    <w:basedOn w:val="659"/>
    <w:link w:val="827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839" w:customStyle="1">
    <w:name w:val="Верхний колонтитул Знак"/>
    <w:basedOn w:val="659"/>
    <w:link w:val="829"/>
    <w:uiPriority w:val="99"/>
    <w:qFormat/>
    <w:rPr>
      <w:rFonts w:ascii="Calibri" w:hAnsi="Calibri" w:eastAsia="Calibri" w:cs="Times New Roman"/>
    </w:rPr>
  </w:style>
  <w:style w:type="character" w:styleId="840" w:customStyle="1">
    <w:name w:val="Нижний колонтитул Знак"/>
    <w:basedOn w:val="659"/>
    <w:link w:val="832"/>
    <w:uiPriority w:val="99"/>
    <w:qFormat/>
    <w:rPr>
      <w:rFonts w:ascii="Calibri" w:hAnsi="Calibri" w:eastAsia="Calibri" w:cs="Times New Roman"/>
    </w:rPr>
  </w:style>
  <w:style w:type="character" w:styleId="841" w:customStyle="1">
    <w:name w:val="Название Знак"/>
    <w:basedOn w:val="659"/>
    <w:link w:val="831"/>
    <w:uiPriority w:val="10"/>
    <w:qFormat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2" w:customStyle="1">
    <w:name w:val="Основной текст Знак"/>
    <w:basedOn w:val="659"/>
    <w:link w:val="830"/>
    <w:uiPriority w:val="99"/>
    <w:semiHidden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3" w:customStyle="1">
    <w:name w:val="Тема примечания Знак"/>
    <w:basedOn w:val="838"/>
    <w:link w:val="828"/>
    <w:uiPriority w:val="99"/>
    <w:semiHidden/>
    <w:qFormat/>
    <w:rPr>
      <w:rFonts w:ascii="Calibri" w:hAnsi="Calibri" w:eastAsia="Calibri" w:cs="Times New Roman"/>
      <w:b/>
      <w:bCs/>
      <w:sz w:val="20"/>
      <w:szCs w:val="20"/>
    </w:rPr>
  </w:style>
  <w:style w:type="character" w:styleId="844" w:customStyle="1">
    <w:name w:val="Текст выноски Знак"/>
    <w:basedOn w:val="659"/>
    <w:link w:val="826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45" w:customStyle="1">
    <w:name w:val="Без интервала Знак"/>
    <w:link w:val="846"/>
    <w:uiPriority w:val="1"/>
    <w:qFormat/>
    <w:rPr>
      <w:rFonts w:ascii="Calibri" w:hAnsi="Calibri" w:eastAsia="Calibri" w:cs="Times New Roman"/>
    </w:rPr>
  </w:style>
  <w:style w:type="paragraph" w:styleId="846">
    <w:name w:val="No Spacing"/>
    <w:link w:val="845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47">
    <w:name w:val="List Paragraph"/>
    <w:basedOn w:val="649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848" w:customStyle="1">
    <w:name w:val="ConsPlusCell"/>
    <w:uiPriority w:val="99"/>
    <w:semiHidden/>
    <w:qFormat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849" w:customStyle="1">
    <w:name w:val="Прижатый влево"/>
    <w:basedOn w:val="649"/>
    <w:next w:val="649"/>
    <w:uiPriority w:val="99"/>
    <w:semiHidden/>
    <w:qFormat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50" w:customStyle="1">
    <w:name w:val="Базовый"/>
    <w:uiPriority w:val="99"/>
    <w:semiHidden/>
    <w:qFormat/>
    <w:pPr>
      <w:spacing w:line="100" w:lineRule="atLeast"/>
    </w:pPr>
    <w:rPr>
      <w:rFonts w:eastAsia="Times New Roman"/>
      <w:sz w:val="24"/>
      <w:szCs w:val="24"/>
    </w:rPr>
  </w:style>
  <w:style w:type="character" w:styleId="851" w:customStyle="1">
    <w:name w:val="ConsPlusNormal Знак"/>
    <w:basedOn w:val="659"/>
    <w:link w:val="852"/>
    <w:qFormat/>
    <w:rPr>
      <w:rFonts w:ascii="Calibri" w:hAnsi="Calibri" w:eastAsia="Times New Roman" w:cs="Calibri"/>
      <w:lang w:eastAsia="ru-RU"/>
    </w:rPr>
  </w:style>
  <w:style w:type="paragraph" w:styleId="852" w:customStyle="1">
    <w:name w:val="ConsPlusNormal"/>
    <w:link w:val="851"/>
    <w:qFormat/>
    <w:pPr>
      <w:widowControl w:val="off"/>
    </w:pPr>
    <w:rPr>
      <w:rFonts w:ascii="Calibri" w:hAnsi="Calibri" w:eastAsia="Times New Roman" w:cs="Calibri"/>
      <w:sz w:val="22"/>
      <w:szCs w:val="22"/>
    </w:rPr>
  </w:style>
  <w:style w:type="character" w:styleId="853" w:customStyle="1">
    <w:name w:val="Основной текст (2)_"/>
    <w:link w:val="854"/>
    <w:uiPriority w:val="99"/>
    <w:semiHidden/>
    <w:qFormat/>
    <w:rPr>
      <w:sz w:val="26"/>
      <w:szCs w:val="26"/>
      <w:shd w:val="clear" w:color="auto" w:fill="ffffff"/>
    </w:rPr>
  </w:style>
  <w:style w:type="paragraph" w:styleId="854" w:customStyle="1">
    <w:name w:val="Основной текст (2)"/>
    <w:basedOn w:val="649"/>
    <w:link w:val="853"/>
    <w:uiPriority w:val="99"/>
    <w:semiHidden/>
    <w:qFormat/>
    <w:pPr>
      <w:jc w:val="center"/>
      <w:spacing w:after="180" w:line="353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6"/>
      <w:szCs w:val="26"/>
    </w:rPr>
  </w:style>
  <w:style w:type="paragraph" w:styleId="855" w:customStyle="1">
    <w:name w:val="text1cl"/>
    <w:basedOn w:val="649"/>
    <w:uiPriority w:val="99"/>
    <w:semiHidden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Основной текст_"/>
    <w:link w:val="857"/>
    <w:semiHidden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857" w:customStyle="1">
    <w:name w:val="Основной текст1"/>
    <w:basedOn w:val="649"/>
    <w:link w:val="856"/>
    <w:semiHidden/>
    <w:qFormat/>
    <w:pPr>
      <w:spacing w:after="0" w:line="326" w:lineRule="exact"/>
      <w:shd w:val="clear" w:color="auto" w:fill="ffffff"/>
    </w:pPr>
    <w:rPr>
      <w:rFonts w:ascii="Times New Roman" w:hAnsi="Times New Roman" w:eastAsiaTheme="minorHAnsi"/>
      <w:sz w:val="26"/>
      <w:szCs w:val="26"/>
    </w:rPr>
  </w:style>
  <w:style w:type="character" w:styleId="858" w:customStyle="1">
    <w:name w:val="Основной текст (5)_"/>
    <w:link w:val="859"/>
    <w:uiPriority w:val="99"/>
    <w:semiHidden/>
    <w:qFormat/>
    <w:rPr>
      <w:sz w:val="19"/>
      <w:szCs w:val="19"/>
      <w:shd w:val="clear" w:color="auto" w:fill="ffffff"/>
    </w:rPr>
  </w:style>
  <w:style w:type="paragraph" w:styleId="859" w:customStyle="1">
    <w:name w:val="Основной текст (5)"/>
    <w:basedOn w:val="649"/>
    <w:link w:val="858"/>
    <w:uiPriority w:val="99"/>
    <w:semiHidden/>
    <w:qFormat/>
    <w:pPr>
      <w:jc w:val="both"/>
      <w:spacing w:after="0" w:line="240" w:lineRule="atLeast"/>
      <w:shd w:val="clear" w:color="auto" w:fill="ffffff"/>
    </w:pPr>
    <w:rPr>
      <w:rFonts w:asciiTheme="minorHAnsi" w:hAnsiTheme="minorHAnsi" w:eastAsiaTheme="minorHAnsi" w:cstheme="minorBidi"/>
      <w:sz w:val="19"/>
      <w:szCs w:val="19"/>
    </w:rPr>
  </w:style>
  <w:style w:type="character" w:styleId="860" w:customStyle="1">
    <w:name w:val="Текст примечания Знак1"/>
    <w:basedOn w:val="659"/>
    <w:uiPriority w:val="99"/>
    <w:semiHidden/>
    <w:qFormat/>
    <w:rPr>
      <w:rFonts w:hint="default" w:ascii="Calibri" w:hAnsi="Calibri" w:eastAsia="Calibri" w:cs="Times New Roman"/>
      <w:sz w:val="20"/>
      <w:szCs w:val="20"/>
    </w:rPr>
  </w:style>
  <w:style w:type="character" w:styleId="861" w:customStyle="1">
    <w:name w:val="Верхний колонтитул Знак1"/>
    <w:basedOn w:val="659"/>
    <w:uiPriority w:val="99"/>
    <w:semiHidden/>
    <w:qFormat/>
    <w:rPr>
      <w:rFonts w:hint="default" w:ascii="Calibri" w:hAnsi="Calibri" w:eastAsia="Calibri" w:cs="Times New Roman"/>
    </w:rPr>
  </w:style>
  <w:style w:type="character" w:styleId="862" w:customStyle="1">
    <w:name w:val="Нижний колонтитул Знак1"/>
    <w:basedOn w:val="659"/>
    <w:uiPriority w:val="99"/>
    <w:semiHidden/>
    <w:qFormat/>
    <w:rPr>
      <w:rFonts w:hint="default" w:ascii="Calibri" w:hAnsi="Calibri" w:eastAsia="Calibri" w:cs="Times New Roman"/>
    </w:rPr>
  </w:style>
  <w:style w:type="character" w:styleId="863" w:customStyle="1">
    <w:name w:val="Тема примечания Знак1"/>
    <w:basedOn w:val="860"/>
    <w:uiPriority w:val="99"/>
    <w:semiHidden/>
    <w:qFormat/>
    <w:rPr>
      <w:rFonts w:hint="default" w:ascii="Calibri" w:hAnsi="Calibri" w:eastAsia="Calibri" w:cs="Times New Roman"/>
      <w:b/>
      <w:bCs/>
      <w:sz w:val="20"/>
      <w:szCs w:val="20"/>
    </w:rPr>
  </w:style>
  <w:style w:type="character" w:styleId="864" w:customStyle="1">
    <w:name w:val="Текст выноски Знак1"/>
    <w:basedOn w:val="659"/>
    <w:uiPriority w:val="99"/>
    <w:semiHidden/>
    <w:qFormat/>
    <w:rPr>
      <w:rFonts w:hint="default" w:ascii="Segoe UI" w:hAnsi="Segoe UI" w:eastAsia="Calibri" w:cs="Segoe UI"/>
      <w:sz w:val="18"/>
      <w:szCs w:val="18"/>
    </w:rPr>
  </w:style>
  <w:style w:type="character" w:styleId="865" w:customStyle="1">
    <w:name w:val="Гипертекстовая ссылка"/>
    <w:uiPriority w:val="99"/>
    <w:qFormat/>
    <w:rPr>
      <w:color w:val="106bbe"/>
    </w:rPr>
  </w:style>
  <w:style w:type="character" w:styleId="866" w:customStyle="1">
    <w:name w:val="Цветовое выделение"/>
    <w:uiPriority w:val="99"/>
    <w:qFormat/>
    <w:rPr>
      <w:b/>
      <w:bCs/>
      <w:color w:val="26282f"/>
    </w:rPr>
  </w:style>
  <w:style w:type="character" w:styleId="867" w:customStyle="1">
    <w:name w:val="Основной текст + 12 pt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7622-64C0-49E9-9226-2F81A276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ВМ</dc:creator>
  <cp:revision>1032</cp:revision>
  <dcterms:created xsi:type="dcterms:W3CDTF">2022-11-06T12:01:00Z</dcterms:created>
  <dcterms:modified xsi:type="dcterms:W3CDTF">2025-01-16T08:41:45Z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B7AFD93D5DAF4E23AABAD55122C7DF2C</vt:lpwstr>
  </property>
</Properties>
</file>